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69" w:rsidRPr="00CD6CA7" w:rsidRDefault="00E66BFA">
      <w:pPr>
        <w:spacing w:before="4" w:after="653"/>
        <w:textAlignment w:val="baseline"/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t xml:space="preserve"> </w:t>
      </w:r>
      <w:r w:rsidR="008846BB">
        <w:rPr>
          <w:noProof/>
          <w:lang w:val="hr-HR" w:eastAsia="hr-HR"/>
        </w:rPr>
        <w:drawing>
          <wp:inline distT="0" distB="0" distL="0" distR="0">
            <wp:extent cx="1419225" cy="714375"/>
            <wp:effectExtent l="0" t="0" r="9525" b="9525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69" w:rsidRPr="00CD6CA7" w:rsidRDefault="00150E69">
      <w:pPr>
        <w:spacing w:before="4" w:after="653"/>
        <w:rPr>
          <w:lang w:val="hr-HR"/>
        </w:rPr>
        <w:sectPr w:rsidR="00150E69" w:rsidRPr="00CD6CA7">
          <w:pgSz w:w="12240" w:h="15840"/>
          <w:pgMar w:top="860" w:right="9058" w:bottom="260" w:left="922" w:header="720" w:footer="720" w:gutter="0"/>
          <w:cols w:space="720"/>
        </w:sectPr>
      </w:pPr>
    </w:p>
    <w:p w:rsidR="00150E69" w:rsidRPr="00CD6CA7" w:rsidRDefault="008846BB">
      <w:pPr>
        <w:spacing w:after="384"/>
        <w:ind w:right="61"/>
        <w:textAlignment w:val="baseline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>
            <wp:extent cx="4905375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33" w:rsidRDefault="00570533">
      <w:pPr>
        <w:spacing w:before="12" w:line="331" w:lineRule="exact"/>
        <w:textAlignment w:val="baseline"/>
        <w:rPr>
          <w:rFonts w:eastAsia="Times New Roman"/>
          <w:b/>
          <w:color w:val="FFFFFF"/>
          <w:spacing w:val="-3"/>
          <w:sz w:val="32"/>
          <w:lang w:val="hr-HR"/>
        </w:rPr>
      </w:pPr>
    </w:p>
    <w:p w:rsidR="00570533" w:rsidRDefault="00570533">
      <w:pPr>
        <w:spacing w:before="12" w:line="331" w:lineRule="exact"/>
        <w:textAlignment w:val="baseline"/>
        <w:rPr>
          <w:rFonts w:eastAsia="Times New Roman"/>
          <w:b/>
          <w:color w:val="FFFFFF"/>
          <w:spacing w:val="-3"/>
          <w:sz w:val="32"/>
          <w:lang w:val="hr-HR"/>
        </w:rPr>
      </w:pPr>
    </w:p>
    <w:p w:rsidR="00150E69" w:rsidRPr="00CD6CA7" w:rsidRDefault="00150E69">
      <w:pPr>
        <w:spacing w:before="12" w:line="331" w:lineRule="exact"/>
        <w:textAlignment w:val="baseline"/>
        <w:rPr>
          <w:rFonts w:eastAsia="Times New Roman"/>
          <w:b/>
          <w:color w:val="828386"/>
          <w:spacing w:val="1"/>
          <w:sz w:val="30"/>
          <w:lang w:val="hr-HR"/>
        </w:rPr>
      </w:pPr>
      <w:r w:rsidRPr="00CD6CA7">
        <w:rPr>
          <w:rFonts w:eastAsia="Times New Roman"/>
          <w:b/>
          <w:color w:val="828386"/>
          <w:spacing w:val="1"/>
          <w:sz w:val="30"/>
          <w:lang w:val="hr-HR"/>
        </w:rPr>
        <w:t>Ažurirano istraživanje:</w:t>
      </w:r>
    </w:p>
    <w:p w:rsidR="00150E69" w:rsidRPr="00CD6CA7" w:rsidRDefault="00CD6CA7">
      <w:pPr>
        <w:spacing w:before="9" w:after="394" w:line="519" w:lineRule="exact"/>
        <w:textAlignment w:val="baseline"/>
        <w:rPr>
          <w:rFonts w:eastAsia="Times New Roman"/>
          <w:color w:val="000000"/>
          <w:w w:val="105"/>
          <w:sz w:val="46"/>
          <w:lang w:val="hr-HR"/>
        </w:rPr>
      </w:pPr>
      <w:r>
        <w:rPr>
          <w:rFonts w:eastAsia="Times New Roman"/>
          <w:color w:val="000000"/>
          <w:spacing w:val="3"/>
          <w:w w:val="105"/>
          <w:sz w:val="46"/>
          <w:lang w:val="hr-HR"/>
        </w:rPr>
        <w:t>Izgledi</w:t>
      </w:r>
      <w:r w:rsidR="00150E69" w:rsidRPr="00CD6CA7">
        <w:rPr>
          <w:rFonts w:eastAsia="Times New Roman"/>
          <w:color w:val="000000"/>
          <w:spacing w:val="3"/>
          <w:w w:val="105"/>
          <w:sz w:val="46"/>
          <w:lang w:val="hr-HR"/>
        </w:rPr>
        <w:t xml:space="preserve"> Zagreba, glavnog grada Hrvatske,</w:t>
      </w:r>
      <w:r>
        <w:rPr>
          <w:rFonts w:eastAsia="Times New Roman"/>
          <w:color w:val="000000"/>
          <w:spacing w:val="3"/>
          <w:w w:val="105"/>
          <w:sz w:val="46"/>
          <w:lang w:val="hr-HR"/>
        </w:rPr>
        <w:t xml:space="preserve"> </w:t>
      </w:r>
      <w:r w:rsidR="00585ACF">
        <w:rPr>
          <w:rFonts w:eastAsia="Times New Roman"/>
          <w:color w:val="000000"/>
          <w:spacing w:val="3"/>
          <w:w w:val="105"/>
          <w:sz w:val="46"/>
          <w:lang w:val="hr-HR"/>
        </w:rPr>
        <w:t>pro</w:t>
      </w:r>
      <w:r>
        <w:rPr>
          <w:rFonts w:eastAsia="Times New Roman"/>
          <w:color w:val="000000"/>
          <w:spacing w:val="3"/>
          <w:w w:val="105"/>
          <w:sz w:val="46"/>
          <w:lang w:val="hr-HR"/>
        </w:rPr>
        <w:t>mijenjeni u stabilne nakon sličn</w:t>
      </w:r>
      <w:r w:rsidR="00585ACF">
        <w:rPr>
          <w:rFonts w:eastAsia="Times New Roman"/>
          <w:color w:val="000000"/>
          <w:spacing w:val="3"/>
          <w:w w:val="105"/>
          <w:sz w:val="46"/>
          <w:lang w:val="hr-HR"/>
        </w:rPr>
        <w:t>e izmjene</w:t>
      </w:r>
      <w:r w:rsidR="005303BA">
        <w:rPr>
          <w:rFonts w:eastAsia="Times New Roman"/>
          <w:color w:val="000000"/>
          <w:spacing w:val="3"/>
          <w:w w:val="105"/>
          <w:sz w:val="46"/>
          <w:lang w:val="hr-HR"/>
        </w:rPr>
        <w:t xml:space="preserve"> rejtinga Hrvatske</w:t>
      </w:r>
      <w:r>
        <w:rPr>
          <w:rFonts w:eastAsia="Times New Roman"/>
          <w:color w:val="000000"/>
          <w:spacing w:val="3"/>
          <w:w w:val="105"/>
          <w:sz w:val="46"/>
          <w:lang w:val="hr-HR"/>
        </w:rPr>
        <w:t>;</w:t>
      </w:r>
      <w:r w:rsidR="00150E69" w:rsidRPr="00CD6CA7">
        <w:rPr>
          <w:rFonts w:eastAsia="Times New Roman"/>
          <w:color w:val="000000"/>
          <w:spacing w:val="3"/>
          <w:w w:val="105"/>
          <w:sz w:val="46"/>
          <w:lang w:val="hr-HR"/>
        </w:rPr>
        <w:t xml:space="preserve"> </w:t>
      </w:r>
      <w:r w:rsidR="00E2022F">
        <w:rPr>
          <w:rFonts w:eastAsia="Times New Roman"/>
          <w:color w:val="000000"/>
          <w:w w:val="105"/>
          <w:sz w:val="46"/>
          <w:lang w:val="hr-HR"/>
        </w:rPr>
        <w:t>P</w:t>
      </w:r>
      <w:r w:rsidR="00E2022F" w:rsidRPr="00CD6CA7">
        <w:rPr>
          <w:rFonts w:eastAsia="Times New Roman"/>
          <w:color w:val="000000"/>
          <w:w w:val="105"/>
          <w:sz w:val="46"/>
          <w:lang w:val="hr-HR"/>
        </w:rPr>
        <w:t xml:space="preserve">otvrđen rejting </w:t>
      </w:r>
      <w:r w:rsidR="00E2022F">
        <w:rPr>
          <w:rFonts w:eastAsia="Times New Roman"/>
          <w:color w:val="000000"/>
          <w:w w:val="105"/>
          <w:sz w:val="46"/>
          <w:lang w:val="hr-HR"/>
        </w:rPr>
        <w:t xml:space="preserve">na </w:t>
      </w:r>
      <w:r w:rsidRPr="00CD6CA7">
        <w:rPr>
          <w:rFonts w:eastAsia="Times New Roman"/>
          <w:color w:val="000000"/>
          <w:w w:val="105"/>
          <w:sz w:val="46"/>
          <w:lang w:val="hr-HR"/>
        </w:rPr>
        <w:t>'BB'</w:t>
      </w:r>
      <w:r w:rsidR="00150E69" w:rsidRPr="00CD6CA7">
        <w:rPr>
          <w:rFonts w:eastAsia="Times New Roman"/>
          <w:color w:val="000000"/>
          <w:w w:val="105"/>
          <w:sz w:val="46"/>
          <w:lang w:val="hr-HR"/>
        </w:rPr>
        <w:t xml:space="preserve"> </w:t>
      </w:r>
    </w:p>
    <w:p w:rsidR="00150E69" w:rsidRPr="00CD6CA7" w:rsidRDefault="00150E69">
      <w:pPr>
        <w:spacing w:before="14" w:line="215" w:lineRule="exact"/>
        <w:jc w:val="both"/>
        <w:textAlignment w:val="baseline"/>
        <w:rPr>
          <w:rFonts w:eastAsia="Times New Roman"/>
          <w:b/>
          <w:color w:val="000000"/>
          <w:spacing w:val="-3"/>
          <w:sz w:val="20"/>
          <w:lang w:val="hr-HR"/>
        </w:rPr>
      </w:pPr>
      <w:r w:rsidRPr="00CD6CA7">
        <w:rPr>
          <w:rFonts w:eastAsia="Times New Roman"/>
          <w:b/>
          <w:color w:val="000000"/>
          <w:spacing w:val="-3"/>
          <w:sz w:val="20"/>
          <w:lang w:val="hr-HR"/>
        </w:rPr>
        <w:t>Glavni kreditni analitičar:</w:t>
      </w:r>
    </w:p>
    <w:p w:rsidR="00150E69" w:rsidRPr="00CD6CA7" w:rsidRDefault="005303BA">
      <w:pPr>
        <w:spacing w:before="3" w:line="207" w:lineRule="exact"/>
        <w:jc w:val="both"/>
        <w:textAlignment w:val="baseline"/>
        <w:rPr>
          <w:rFonts w:eastAsia="Times New Roman"/>
          <w:color w:val="000000"/>
          <w:spacing w:val="-1"/>
          <w:sz w:val="19"/>
          <w:lang w:val="hr-HR"/>
        </w:rPr>
      </w:pPr>
      <w:r>
        <w:rPr>
          <w:rFonts w:eastAsia="Times New Roman"/>
          <w:color w:val="000000"/>
          <w:spacing w:val="-1"/>
          <w:sz w:val="19"/>
          <w:lang w:val="hr-HR"/>
        </w:rPr>
        <w:t>Sabine Daehn</w:t>
      </w:r>
      <w:r w:rsidR="00150E69" w:rsidRPr="00CD6CA7">
        <w:rPr>
          <w:rFonts w:eastAsia="Times New Roman"/>
          <w:color w:val="000000"/>
          <w:spacing w:val="-1"/>
          <w:sz w:val="19"/>
          <w:lang w:val="hr-HR"/>
        </w:rPr>
        <w:t>, Frankfurt (49) 69-33-999-24</w:t>
      </w:r>
      <w:r>
        <w:rPr>
          <w:rFonts w:eastAsia="Times New Roman"/>
          <w:color w:val="000000"/>
          <w:spacing w:val="-1"/>
          <w:sz w:val="19"/>
          <w:lang w:val="hr-HR"/>
        </w:rPr>
        <w:t>4</w:t>
      </w:r>
      <w:r w:rsidR="00150E69" w:rsidRPr="00CD6CA7">
        <w:rPr>
          <w:rFonts w:eastAsia="Times New Roman"/>
          <w:color w:val="000000"/>
          <w:spacing w:val="-1"/>
          <w:sz w:val="19"/>
          <w:lang w:val="hr-HR"/>
        </w:rPr>
        <w:t xml:space="preserve">; </w:t>
      </w:r>
      <w:hyperlink r:id="rId8" w:history="1">
        <w:r w:rsidRPr="00D8300A">
          <w:rPr>
            <w:rStyle w:val="Hyperlink"/>
            <w:rFonts w:eastAsia="Times New Roman"/>
            <w:spacing w:val="-1"/>
            <w:sz w:val="19"/>
            <w:lang w:val="hr-HR"/>
          </w:rPr>
          <w:t>sabine.daehn@spglobal.com</w:t>
        </w:r>
      </w:hyperlink>
      <w:r w:rsidR="00150E69" w:rsidRPr="00CD6CA7">
        <w:rPr>
          <w:rFonts w:eastAsia="Times New Roman"/>
          <w:color w:val="000000"/>
          <w:spacing w:val="-1"/>
          <w:sz w:val="19"/>
          <w:lang w:val="hr-HR"/>
        </w:rPr>
        <w:t xml:space="preserve"> </w:t>
      </w:r>
    </w:p>
    <w:p w:rsidR="00150E69" w:rsidRPr="00CD6CA7" w:rsidRDefault="00150E69">
      <w:pPr>
        <w:spacing w:before="151" w:line="215" w:lineRule="exact"/>
        <w:jc w:val="both"/>
        <w:textAlignment w:val="baseline"/>
        <w:rPr>
          <w:rFonts w:eastAsia="Times New Roman"/>
          <w:b/>
          <w:color w:val="000000"/>
          <w:spacing w:val="-1"/>
          <w:sz w:val="20"/>
          <w:lang w:val="hr-HR"/>
        </w:rPr>
      </w:pPr>
      <w:r w:rsidRPr="00CD6CA7">
        <w:rPr>
          <w:rFonts w:eastAsia="Times New Roman"/>
          <w:b/>
          <w:color w:val="000000"/>
          <w:spacing w:val="-1"/>
          <w:sz w:val="20"/>
          <w:lang w:val="hr-HR"/>
        </w:rPr>
        <w:t>Sekundarni kontakt:</w:t>
      </w:r>
    </w:p>
    <w:p w:rsidR="00150E69" w:rsidRPr="00CD6CA7" w:rsidRDefault="00150E69">
      <w:pPr>
        <w:spacing w:before="3" w:line="207" w:lineRule="exact"/>
        <w:jc w:val="both"/>
        <w:textAlignment w:val="baseline"/>
        <w:rPr>
          <w:rFonts w:eastAsia="Times New Roman"/>
          <w:color w:val="000000"/>
          <w:spacing w:val="-2"/>
          <w:sz w:val="19"/>
          <w:lang w:val="hr-HR"/>
        </w:rPr>
      </w:pPr>
      <w:r w:rsidRPr="00CD6CA7">
        <w:rPr>
          <w:rFonts w:eastAsia="Times New Roman"/>
          <w:color w:val="000000"/>
          <w:spacing w:val="-2"/>
          <w:sz w:val="19"/>
          <w:lang w:val="hr-HR"/>
        </w:rPr>
        <w:t xml:space="preserve">Felix Ejgel, London (44) 20-7176-6780; </w:t>
      </w:r>
      <w:hyperlink r:id="rId9">
        <w:r w:rsidRPr="00CD6CA7">
          <w:rPr>
            <w:rFonts w:eastAsia="Times New Roman"/>
            <w:color w:val="0000FF"/>
            <w:spacing w:val="-2"/>
            <w:sz w:val="19"/>
            <w:u w:val="single"/>
            <w:lang w:val="hr-HR"/>
          </w:rPr>
          <w:t>felix.ejgel@spglobal.com</w:t>
        </w:r>
      </w:hyperlink>
      <w:r w:rsidRPr="00CD6CA7">
        <w:rPr>
          <w:rFonts w:eastAsia="Times New Roman"/>
          <w:color w:val="000000"/>
          <w:spacing w:val="-2"/>
          <w:sz w:val="19"/>
          <w:lang w:val="hr-HR"/>
        </w:rPr>
        <w:t xml:space="preserve"> </w:t>
      </w:r>
    </w:p>
    <w:p w:rsidR="00150E69" w:rsidRPr="00CD6CA7" w:rsidRDefault="00150E69">
      <w:pPr>
        <w:spacing w:before="276" w:after="23" w:line="333" w:lineRule="exact"/>
        <w:jc w:val="both"/>
        <w:textAlignment w:val="baseline"/>
        <w:rPr>
          <w:rFonts w:eastAsia="Times New Roman"/>
          <w:color w:val="C31E29"/>
          <w:spacing w:val="5"/>
          <w:sz w:val="30"/>
          <w:lang w:val="hr-HR"/>
        </w:rPr>
      </w:pPr>
      <w:r w:rsidRPr="00CD6CA7">
        <w:rPr>
          <w:rFonts w:eastAsia="Times New Roman"/>
          <w:color w:val="C31E29"/>
          <w:spacing w:val="5"/>
          <w:sz w:val="30"/>
          <w:lang w:val="hr-HR"/>
        </w:rPr>
        <w:t>Sadržaj</w:t>
      </w:r>
    </w:p>
    <w:p w:rsidR="00150E69" w:rsidRPr="00CD6CA7" w:rsidRDefault="008846BB">
      <w:pPr>
        <w:spacing w:before="86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2157730</wp:posOffset>
                </wp:positionH>
                <wp:positionV relativeFrom="page">
                  <wp:posOffset>6122670</wp:posOffset>
                </wp:positionV>
                <wp:extent cx="4940935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9pt,482.1pt" to="558.95pt,4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5LIA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4mYTSdcQVErNXehuboRb2YnabfHVJ63RB15JHi69VAWhYykjcp4eIMFDh0nzWDGHLyOs7p&#10;Uts2QMIE0CWu43pfB794ROFjvsjTxdMUIzr4ElIMicY6/4nrFgWjxBI4R2By3jkfiJBiCAl1lN4K&#10;KeO2pUIdsJ2ks2nMcFoKFrwhztnjYS0tOpMgmPiLbYHnMSxAV8Q1fZy7ukr7XktWnxSLdRpO2OZm&#10;eyJkbwMvqUIl6BKY3qxeKz8W6WIz38zzUT6ZbUZ5WlWjj9t1Ppptsw/T6qlar6vsZyCd5UUjGOMq&#10;8B50m+V/p4vbC+oVd1fufULJW/Q4SiA7/EfScc1hs71GDppd93ZYP0g1Bt+eVXgLj3ewHx//6hcA&#10;AAD//wMAUEsDBBQABgAIAAAAIQBieJxA4AAAAAwBAAAPAAAAZHJzL2Rvd25yZXYueG1sTI9RS8Mw&#10;FIXfBf9DuIJvW9pN6lqbjjEQBJ/clOFb2lzbanPTJWnX/XszEObjPfdwznfy9aQ7NqJ1rSEB8TwC&#10;hlQZ1VIt4H3/PFsBc16Skp0hFHBGB+vi9iaXmTInesNx52sWQshlUkDjfZ9x7qoGtXRz0yOF35ex&#10;Wvpw2porK08hXHd8EUUJ17Kl0NDIHrcNVj+7QQs4nEeN0evLZvg+rD6Il4n9NEch7u+mzRMwj5O/&#10;muGCH9ChCEylGUg51glYLtOA7gWkycMC2MURx48psPJP4kXO/48ofgEAAP//AwBQSwECLQAUAAYA&#10;CAAAACEAtoM4kv4AAADhAQAAEwAAAAAAAAAAAAAAAAAAAAAAW0NvbnRlbnRfVHlwZXNdLnhtbFBL&#10;AQItABQABgAIAAAAIQA4/SH/1gAAAJQBAAALAAAAAAAAAAAAAAAAAC8BAABfcmVscy8ucmVsc1BL&#10;AQItABQABgAIAAAAIQCqW45LIAIAAEQEAAAOAAAAAAAAAAAAAAAAAC4CAABkcnMvZTJvRG9jLnht&#10;bFBLAQItABQABgAIAAAAIQBieJxA4AAAAAwBAAAPAAAAAAAAAAAAAAAAAHoEAABkcnMvZG93bnJl&#10;di54bWxQSwUGAAAAAAQABADzAAAAhwUAAAAA&#10;" strokeweight=".95pt">
                <v:stroke dashstyle="1 1"/>
                <w10:wrap anchorx="page" anchory="page"/>
              </v:line>
            </w:pict>
          </mc:Fallback>
        </mc:AlternateContent>
      </w:r>
      <w:r w:rsidR="00150E69" w:rsidRPr="00CD6CA7">
        <w:rPr>
          <w:noProof/>
          <w:lang w:val="hr-HR" w:eastAsia="ja-JP" w:bidi="ta-IN"/>
        </w:rPr>
        <w:t>Pregled</w:t>
      </w:r>
    </w:p>
    <w:p w:rsidR="00150E69" w:rsidRPr="00CD6CA7" w:rsidRDefault="00150E69">
      <w:pPr>
        <w:spacing w:before="137" w:line="285" w:lineRule="exact"/>
        <w:jc w:val="both"/>
        <w:textAlignment w:val="baseline"/>
        <w:rPr>
          <w:rFonts w:eastAsia="Times New Roman"/>
          <w:color w:val="000000"/>
          <w:spacing w:val="-1"/>
          <w:sz w:val="25"/>
          <w:lang w:val="hr-HR"/>
        </w:rPr>
      </w:pPr>
      <w:r w:rsidRPr="00CD6CA7">
        <w:rPr>
          <w:rFonts w:eastAsia="Times New Roman"/>
          <w:color w:val="000000"/>
          <w:spacing w:val="-1"/>
          <w:sz w:val="25"/>
          <w:lang w:val="hr-HR"/>
        </w:rPr>
        <w:t>Rejting</w:t>
      </w:r>
    </w:p>
    <w:p w:rsidR="00150E69" w:rsidRPr="00CD6CA7" w:rsidRDefault="00150E69">
      <w:pPr>
        <w:spacing w:before="133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 w:rsidRPr="00CD6CA7">
        <w:rPr>
          <w:rFonts w:eastAsia="Times New Roman"/>
          <w:color w:val="000000"/>
          <w:sz w:val="25"/>
          <w:lang w:val="hr-HR"/>
        </w:rPr>
        <w:t>Obrazloženje</w:t>
      </w:r>
    </w:p>
    <w:p w:rsidR="00150E69" w:rsidRPr="00CD6CA7" w:rsidRDefault="00150E69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 w:rsidRPr="00CD6CA7">
        <w:rPr>
          <w:rFonts w:eastAsia="Times New Roman"/>
          <w:color w:val="000000"/>
          <w:sz w:val="25"/>
          <w:lang w:val="hr-HR"/>
        </w:rPr>
        <w:t>Izgledi</w:t>
      </w:r>
    </w:p>
    <w:p w:rsidR="00150E69" w:rsidRPr="00CD6CA7" w:rsidRDefault="00150E69">
      <w:pPr>
        <w:spacing w:before="133" w:line="285" w:lineRule="exact"/>
        <w:jc w:val="both"/>
        <w:textAlignment w:val="baseline"/>
        <w:rPr>
          <w:rFonts w:eastAsia="Times New Roman"/>
          <w:color w:val="000000"/>
          <w:spacing w:val="-1"/>
          <w:sz w:val="25"/>
          <w:lang w:val="hr-HR"/>
        </w:rPr>
      </w:pPr>
      <w:r w:rsidRPr="00CD6CA7">
        <w:rPr>
          <w:rFonts w:eastAsia="Times New Roman"/>
          <w:color w:val="000000"/>
          <w:spacing w:val="-1"/>
          <w:sz w:val="25"/>
          <w:lang w:val="hr-HR"/>
        </w:rPr>
        <w:t>Ključni statistički podaci</w:t>
      </w:r>
    </w:p>
    <w:p w:rsidR="00150E69" w:rsidRPr="00CD6CA7" w:rsidRDefault="00150E69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 w:rsidRPr="00CD6CA7">
        <w:rPr>
          <w:rFonts w:eastAsia="Times New Roman"/>
          <w:color w:val="000000"/>
          <w:sz w:val="25"/>
          <w:lang w:val="hr-HR"/>
        </w:rPr>
        <w:t>Prikaz rezultata rejtinga</w:t>
      </w:r>
    </w:p>
    <w:p w:rsidR="00150E69" w:rsidRPr="00CD6CA7" w:rsidRDefault="00150E69">
      <w:pPr>
        <w:spacing w:before="133" w:line="285" w:lineRule="exact"/>
        <w:jc w:val="both"/>
        <w:textAlignment w:val="baseline"/>
        <w:rPr>
          <w:rFonts w:eastAsia="Times New Roman"/>
          <w:color w:val="000000"/>
          <w:spacing w:val="-1"/>
          <w:sz w:val="25"/>
          <w:lang w:val="hr-HR"/>
        </w:rPr>
      </w:pPr>
      <w:r w:rsidRPr="00CD6CA7">
        <w:rPr>
          <w:rFonts w:eastAsia="Times New Roman"/>
          <w:color w:val="000000"/>
          <w:spacing w:val="-1"/>
          <w:sz w:val="25"/>
          <w:lang w:val="hr-HR"/>
        </w:rPr>
        <w:t>Ključni statistički podaci za državu</w:t>
      </w:r>
    </w:p>
    <w:p w:rsidR="00150E69" w:rsidRPr="00CD6CA7" w:rsidRDefault="00150E69" w:rsidP="0057427F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 w:rsidRPr="00CD6CA7">
        <w:rPr>
          <w:rFonts w:eastAsia="Times New Roman"/>
          <w:color w:val="000000"/>
          <w:sz w:val="25"/>
          <w:lang w:val="hr-HR"/>
        </w:rPr>
        <w:t>Povezani kriteriji i istraživanja</w:t>
      </w:r>
    </w:p>
    <w:p w:rsidR="00150E69" w:rsidRPr="00CD6CA7" w:rsidRDefault="008C3098" w:rsidP="0057427F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r>
        <w:rPr>
          <w:rFonts w:eastAsia="Times New Roman"/>
          <w:color w:val="000000"/>
          <w:sz w:val="25"/>
          <w:lang w:val="hr-HR"/>
        </w:rPr>
        <w:t>Lista rejtinga</w:t>
      </w:r>
    </w:p>
    <w:p w:rsidR="00150E69" w:rsidRPr="00CD6CA7" w:rsidRDefault="00150E69" w:rsidP="0057427F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</w:p>
    <w:p w:rsidR="00150E69" w:rsidRPr="00CD6CA7" w:rsidRDefault="008846BB" w:rsidP="0057427F">
      <w:pPr>
        <w:spacing w:before="137" w:line="285" w:lineRule="exact"/>
        <w:jc w:val="both"/>
        <w:textAlignment w:val="baseline"/>
        <w:rPr>
          <w:rFonts w:eastAsia="Times New Roman"/>
          <w:color w:val="000000"/>
          <w:sz w:val="25"/>
          <w:lang w:val="hr-HR"/>
        </w:rPr>
      </w:pPr>
      <w:hyperlink r:id="rId10">
        <w:r w:rsidR="00150E69" w:rsidRPr="00CD6CA7">
          <w:rPr>
            <w:rFonts w:eastAsia="Times New Roman"/>
            <w:b/>
            <w:color w:val="0000FF"/>
            <w:sz w:val="16"/>
            <w:u w:val="single"/>
            <w:lang w:val="hr-HR"/>
          </w:rPr>
          <w:t>WWW.STANDARDANDPOORS.COM/RATINGSDIRECT</w:t>
        </w:r>
      </w:hyperlink>
      <w:r w:rsidR="008C3098">
        <w:rPr>
          <w:rFonts w:eastAsia="Times New Roman"/>
          <w:b/>
          <w:color w:val="000000"/>
          <w:sz w:val="16"/>
          <w:lang w:val="hr-HR"/>
        </w:rPr>
        <w:tab/>
      </w:r>
      <w:r w:rsidR="008C3098">
        <w:rPr>
          <w:rFonts w:eastAsia="Times New Roman"/>
          <w:b/>
          <w:color w:val="000000"/>
          <w:sz w:val="16"/>
          <w:lang w:val="hr-HR"/>
        </w:rPr>
        <w:tab/>
      </w:r>
      <w:r w:rsidR="008C3098">
        <w:rPr>
          <w:rFonts w:eastAsia="Times New Roman"/>
          <w:b/>
          <w:color w:val="000000"/>
          <w:sz w:val="16"/>
          <w:lang w:val="hr-HR"/>
        </w:rPr>
        <w:tab/>
      </w:r>
      <w:r w:rsidR="008C3098">
        <w:rPr>
          <w:rFonts w:eastAsia="Times New Roman"/>
          <w:b/>
          <w:color w:val="000000"/>
          <w:sz w:val="16"/>
          <w:lang w:val="hr-HR"/>
        </w:rPr>
        <w:tab/>
        <w:t>22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. </w:t>
      </w:r>
      <w:r w:rsidR="005303BA">
        <w:rPr>
          <w:rFonts w:eastAsia="Times New Roman"/>
          <w:b/>
          <w:color w:val="000000"/>
          <w:sz w:val="16"/>
          <w:lang w:val="hr-HR"/>
        </w:rPr>
        <w:t>prosinca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 2016. 1</w:t>
      </w:r>
    </w:p>
    <w:p w:rsidR="00150E69" w:rsidRPr="00CD6CA7" w:rsidRDefault="008C3098">
      <w:pPr>
        <w:spacing w:before="87" w:line="181" w:lineRule="exact"/>
        <w:ind w:left="6264"/>
        <w:jc w:val="both"/>
        <w:textAlignment w:val="baseline"/>
        <w:rPr>
          <w:rFonts w:eastAsia="Times New Roman"/>
          <w:color w:val="B2AEB4"/>
          <w:sz w:val="16"/>
          <w:lang w:val="hr-HR"/>
        </w:rPr>
      </w:pPr>
      <w:r>
        <w:rPr>
          <w:rFonts w:eastAsia="Times New Roman"/>
          <w:color w:val="B2AEB4"/>
          <w:sz w:val="16"/>
          <w:lang w:val="hr-HR"/>
        </w:rPr>
        <w:t>1778053</w:t>
      </w:r>
      <w:r w:rsidR="00150E69" w:rsidRPr="00CD6CA7">
        <w:rPr>
          <w:rFonts w:eastAsia="Times New Roman"/>
          <w:color w:val="B2AEB4"/>
          <w:sz w:val="16"/>
          <w:lang w:val="hr-HR"/>
        </w:rPr>
        <w:t xml:space="preserve"> | </w:t>
      </w:r>
      <w:r>
        <w:rPr>
          <w:rFonts w:eastAsia="Times New Roman"/>
          <w:color w:val="B2AEB4"/>
          <w:sz w:val="16"/>
          <w:lang w:val="hr-HR"/>
        </w:rPr>
        <w:t>300303550</w:t>
      </w:r>
    </w:p>
    <w:p w:rsidR="00150E69" w:rsidRPr="00CD6CA7" w:rsidRDefault="00150E69">
      <w:pPr>
        <w:rPr>
          <w:lang w:val="hr-HR"/>
        </w:rPr>
        <w:sectPr w:rsidR="00150E69" w:rsidRPr="00CD6CA7">
          <w:type w:val="continuous"/>
          <w:pgSz w:w="12240" w:h="15840"/>
          <w:pgMar w:top="860" w:right="1062" w:bottom="260" w:left="3398" w:header="720" w:footer="720" w:gutter="0"/>
          <w:cols w:space="720"/>
        </w:sectPr>
      </w:pPr>
    </w:p>
    <w:p w:rsidR="00150E69" w:rsidRPr="00CD6CA7" w:rsidRDefault="00150E69">
      <w:pPr>
        <w:spacing w:before="27" w:line="330" w:lineRule="exact"/>
        <w:jc w:val="both"/>
        <w:textAlignment w:val="baseline"/>
        <w:rPr>
          <w:rFonts w:eastAsia="Times New Roman"/>
          <w:b/>
          <w:color w:val="828386"/>
          <w:spacing w:val="1"/>
          <w:sz w:val="30"/>
          <w:lang w:val="hr-HR"/>
        </w:rPr>
      </w:pPr>
      <w:r w:rsidRPr="00CD6CA7">
        <w:rPr>
          <w:rFonts w:eastAsia="Times New Roman"/>
          <w:b/>
          <w:color w:val="828386"/>
          <w:spacing w:val="1"/>
          <w:sz w:val="30"/>
          <w:lang w:val="hr-HR"/>
        </w:rPr>
        <w:lastRenderedPageBreak/>
        <w:t>Ažurirano istraživanje:</w:t>
      </w:r>
    </w:p>
    <w:p w:rsidR="00150E69" w:rsidRPr="00CD6CA7" w:rsidRDefault="005303BA" w:rsidP="00F15936">
      <w:pPr>
        <w:spacing w:before="130" w:line="503" w:lineRule="exact"/>
        <w:jc w:val="both"/>
        <w:textAlignment w:val="baseline"/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</w:pPr>
      <w:r w:rsidRPr="005303BA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 xml:space="preserve">Izgledi Zagreba, glavnog grada Hrvatske, </w:t>
      </w:r>
      <w:r w:rsidR="00585ACF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>pro</w:t>
      </w:r>
      <w:r w:rsidRPr="005303BA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>mijenjeni u stabilne nakon sličn</w:t>
      </w:r>
      <w:r w:rsidR="00585ACF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>e izmjene</w:t>
      </w:r>
      <w:r w:rsidRPr="005303BA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 xml:space="preserve"> rejtinga Hrvatske; </w:t>
      </w:r>
      <w:r w:rsidR="00E2022F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>P</w:t>
      </w:r>
      <w:r w:rsidR="00E2022F" w:rsidRPr="005303BA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 xml:space="preserve">otvrđen rejting </w:t>
      </w:r>
      <w:r w:rsidR="00E2022F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 xml:space="preserve">na </w:t>
      </w:r>
      <w:r w:rsidRPr="005303BA">
        <w:rPr>
          <w:rFonts w:ascii="Bookman Old Style" w:hAnsi="Bookman Old Style"/>
          <w:color w:val="000000"/>
          <w:spacing w:val="-2"/>
          <w:w w:val="95"/>
          <w:sz w:val="44"/>
          <w:lang w:val="hr-HR"/>
        </w:rPr>
        <w:t xml:space="preserve">'BB' </w:t>
      </w:r>
    </w:p>
    <w:p w:rsidR="00150E69" w:rsidRPr="00CD6CA7" w:rsidRDefault="00150E69">
      <w:pPr>
        <w:spacing w:before="411" w:after="1" w:line="324" w:lineRule="exact"/>
        <w:jc w:val="both"/>
        <w:textAlignment w:val="baseline"/>
        <w:rPr>
          <w:rFonts w:ascii="Bookman Old Style" w:hAnsi="Bookman Old Style"/>
          <w:color w:val="C31E29"/>
          <w:spacing w:val="3"/>
          <w:sz w:val="27"/>
          <w:lang w:val="hr-HR"/>
        </w:rPr>
      </w:pPr>
      <w:r w:rsidRPr="00CD6CA7">
        <w:rPr>
          <w:rFonts w:ascii="Bookman Old Style" w:hAnsi="Bookman Old Style"/>
          <w:color w:val="C31E29"/>
          <w:spacing w:val="3"/>
          <w:sz w:val="27"/>
          <w:lang w:val="hr-HR"/>
        </w:rPr>
        <w:t>Pregled</w:t>
      </w:r>
    </w:p>
    <w:p w:rsidR="005303BA" w:rsidRPr="00E36EB6" w:rsidRDefault="005303BA">
      <w:pPr>
        <w:numPr>
          <w:ilvl w:val="0"/>
          <w:numId w:val="1"/>
        </w:numPr>
        <w:spacing w:line="220" w:lineRule="exact"/>
        <w:ind w:left="288" w:right="72" w:hanging="288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E36EB6">
        <w:rPr>
          <w:rFonts w:ascii="Courier New" w:hAnsi="Courier New"/>
          <w:color w:val="000000"/>
          <w:sz w:val="20"/>
          <w:lang w:val="hr-HR"/>
        </w:rPr>
        <w:t xml:space="preserve">Dana 16. prosinca 2016. godine izmijenili </w:t>
      </w:r>
      <w:r w:rsidR="00E66BFA" w:rsidRPr="00E36EB6">
        <w:rPr>
          <w:rFonts w:ascii="Courier New" w:hAnsi="Courier New"/>
          <w:color w:val="000000"/>
          <w:sz w:val="20"/>
          <w:lang w:val="hr-HR"/>
        </w:rPr>
        <w:t xml:space="preserve">smo </w:t>
      </w:r>
      <w:r w:rsidR="009250D0" w:rsidRPr="00E36EB6">
        <w:rPr>
          <w:rFonts w:ascii="Courier New" w:hAnsi="Courier New"/>
          <w:color w:val="000000"/>
          <w:sz w:val="20"/>
          <w:lang w:val="hr-HR"/>
        </w:rPr>
        <w:t>izglede</w:t>
      </w:r>
      <w:r w:rsidRPr="00E36EB6">
        <w:rPr>
          <w:rFonts w:ascii="Courier New" w:hAnsi="Courier New"/>
          <w:color w:val="000000"/>
          <w:sz w:val="20"/>
          <w:lang w:val="hr-HR"/>
        </w:rPr>
        <w:t xml:space="preserve"> Republike Hrvatske </w:t>
      </w:r>
      <w:r w:rsidR="006970E4" w:rsidRPr="00E36EB6">
        <w:rPr>
          <w:rFonts w:ascii="Courier New" w:hAnsi="Courier New"/>
          <w:color w:val="000000"/>
          <w:sz w:val="20"/>
          <w:lang w:val="hr-HR"/>
        </w:rPr>
        <w:t>iz</w:t>
      </w:r>
      <w:r w:rsidRPr="00E36EB6">
        <w:rPr>
          <w:rFonts w:ascii="Courier New" w:hAnsi="Courier New"/>
          <w:color w:val="000000"/>
          <w:sz w:val="20"/>
          <w:lang w:val="hr-HR"/>
        </w:rPr>
        <w:t xml:space="preserve"> </w:t>
      </w:r>
      <w:r w:rsidR="002B1196" w:rsidRPr="00E36EB6">
        <w:rPr>
          <w:rFonts w:ascii="Courier New" w:hAnsi="Courier New"/>
          <w:color w:val="000000"/>
          <w:sz w:val="20"/>
          <w:lang w:val="hr-HR"/>
        </w:rPr>
        <w:t xml:space="preserve">negativnih </w:t>
      </w:r>
      <w:r w:rsidRPr="00E36EB6">
        <w:rPr>
          <w:rFonts w:ascii="Courier New" w:hAnsi="Courier New"/>
          <w:color w:val="000000"/>
          <w:sz w:val="20"/>
          <w:lang w:val="hr-HR"/>
        </w:rPr>
        <w:t xml:space="preserve">u </w:t>
      </w:r>
      <w:r w:rsidR="002B1196" w:rsidRPr="00E36EB6">
        <w:rPr>
          <w:rFonts w:ascii="Courier New" w:hAnsi="Courier New"/>
          <w:color w:val="000000"/>
          <w:sz w:val="20"/>
          <w:lang w:val="hr-HR"/>
        </w:rPr>
        <w:t xml:space="preserve">stabilne </w:t>
      </w:r>
      <w:r w:rsidRPr="00E36EB6">
        <w:rPr>
          <w:rFonts w:ascii="Courier New" w:hAnsi="Courier New"/>
          <w:color w:val="000000"/>
          <w:sz w:val="20"/>
          <w:lang w:val="hr-HR"/>
        </w:rPr>
        <w:t>i potvrdili</w:t>
      </w:r>
      <w:r w:rsidR="00CA1334" w:rsidRPr="00E36EB6">
        <w:rPr>
          <w:rFonts w:ascii="Courier New" w:hAnsi="Courier New"/>
          <w:color w:val="000000"/>
          <w:sz w:val="20"/>
          <w:lang w:val="hr-HR"/>
        </w:rPr>
        <w:t xml:space="preserve"> državni</w:t>
      </w:r>
      <w:r w:rsidRPr="00E36EB6">
        <w:rPr>
          <w:rFonts w:ascii="Courier New" w:hAnsi="Courier New"/>
          <w:color w:val="000000"/>
          <w:sz w:val="20"/>
          <w:lang w:val="hr-HR"/>
        </w:rPr>
        <w:t xml:space="preserve"> kreditni rejting</w:t>
      </w:r>
      <w:r w:rsidR="00E2022F" w:rsidRPr="00E36EB6">
        <w:rPr>
          <w:rFonts w:ascii="Courier New" w:hAnsi="Courier New"/>
          <w:color w:val="000000"/>
          <w:sz w:val="20"/>
          <w:lang w:val="hr-HR"/>
        </w:rPr>
        <w:t xml:space="preserve"> na 'BB'</w:t>
      </w:r>
      <w:r w:rsidRPr="00E36EB6">
        <w:rPr>
          <w:rFonts w:ascii="Courier New" w:hAnsi="Courier New"/>
          <w:color w:val="000000"/>
          <w:sz w:val="20"/>
          <w:lang w:val="hr-HR"/>
        </w:rPr>
        <w:t>.</w:t>
      </w:r>
    </w:p>
    <w:p w:rsidR="005303BA" w:rsidRPr="001759FB" w:rsidRDefault="009250D0">
      <w:pPr>
        <w:numPr>
          <w:ilvl w:val="0"/>
          <w:numId w:val="1"/>
        </w:numPr>
        <w:spacing w:line="220" w:lineRule="exact"/>
        <w:ind w:left="288" w:right="72" w:hanging="288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1759FB">
        <w:rPr>
          <w:rFonts w:ascii="Courier New" w:hAnsi="Courier New"/>
          <w:color w:val="000000"/>
          <w:sz w:val="20"/>
          <w:lang w:val="hr-HR"/>
        </w:rPr>
        <w:t>Utvrđujemo</w:t>
      </w:r>
      <w:r w:rsidR="00F341D3" w:rsidRPr="001759FB">
        <w:rPr>
          <w:rFonts w:ascii="Courier New" w:hAnsi="Courier New"/>
          <w:color w:val="000000"/>
          <w:sz w:val="20"/>
          <w:lang w:val="hr-HR"/>
        </w:rPr>
        <w:t xml:space="preserve"> dugoročni rejting i izglede Zagreba na razinu</w:t>
      </w:r>
      <w:r w:rsidR="005F4CA1" w:rsidRPr="001759FB">
        <w:rPr>
          <w:rFonts w:ascii="Courier New" w:hAnsi="Courier New"/>
          <w:color w:val="000000"/>
          <w:sz w:val="20"/>
          <w:lang w:val="hr-HR"/>
        </w:rPr>
        <w:t xml:space="preserve"> dugoročnog rejtinga i izgleda Hrvatske. Ne vidimo promjenu niti u jednom ključnom faktoru </w:t>
      </w:r>
      <w:r w:rsidRPr="001759FB">
        <w:rPr>
          <w:rFonts w:ascii="Courier New" w:hAnsi="Courier New"/>
          <w:color w:val="000000"/>
          <w:sz w:val="20"/>
          <w:lang w:val="hr-HR"/>
        </w:rPr>
        <w:t>na kojima se temelji</w:t>
      </w:r>
      <w:r w:rsidR="005F4CA1" w:rsidRPr="001759FB">
        <w:rPr>
          <w:rFonts w:ascii="Courier New" w:hAnsi="Courier New"/>
          <w:color w:val="000000"/>
          <w:sz w:val="20"/>
          <w:lang w:val="hr-HR"/>
        </w:rPr>
        <w:t xml:space="preserve"> rejting Zagreba.</w:t>
      </w:r>
    </w:p>
    <w:p w:rsidR="005F4CA1" w:rsidRPr="001759FB" w:rsidRDefault="005F4CA1">
      <w:pPr>
        <w:numPr>
          <w:ilvl w:val="0"/>
          <w:numId w:val="1"/>
        </w:numPr>
        <w:spacing w:line="220" w:lineRule="exact"/>
        <w:ind w:left="288" w:right="72" w:hanging="288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1759FB">
        <w:rPr>
          <w:rFonts w:ascii="Courier New" w:hAnsi="Courier New"/>
          <w:color w:val="000000"/>
          <w:sz w:val="20"/>
          <w:lang w:val="hr-HR"/>
        </w:rPr>
        <w:t xml:space="preserve">Stoga </w:t>
      </w:r>
      <w:r w:rsidR="002B1196" w:rsidRPr="001759FB">
        <w:rPr>
          <w:rFonts w:ascii="Courier New" w:hAnsi="Courier New"/>
          <w:color w:val="000000"/>
          <w:sz w:val="20"/>
          <w:lang w:val="hr-HR"/>
        </w:rPr>
        <w:t>mijenjamo</w:t>
      </w:r>
      <w:r w:rsidRPr="001759FB">
        <w:rPr>
          <w:rFonts w:ascii="Courier New" w:hAnsi="Courier New"/>
          <w:color w:val="000000"/>
          <w:sz w:val="20"/>
          <w:lang w:val="hr-HR"/>
        </w:rPr>
        <w:t xml:space="preserve"> izglede Zagreba </w:t>
      </w:r>
      <w:r w:rsidR="006970E4" w:rsidRPr="001759FB">
        <w:rPr>
          <w:rFonts w:ascii="Courier New" w:hAnsi="Courier New"/>
          <w:color w:val="000000"/>
          <w:sz w:val="20"/>
          <w:lang w:val="hr-HR"/>
        </w:rPr>
        <w:t>iz</w:t>
      </w:r>
      <w:r w:rsidRPr="001759FB">
        <w:rPr>
          <w:rFonts w:ascii="Courier New" w:hAnsi="Courier New"/>
          <w:color w:val="000000"/>
          <w:sz w:val="20"/>
          <w:lang w:val="hr-HR"/>
        </w:rPr>
        <w:t xml:space="preserve"> negativnih u stabilne i potvrđujemo rejting na 'BB'.</w:t>
      </w:r>
    </w:p>
    <w:p w:rsidR="005F4CA1" w:rsidRPr="001759FB" w:rsidRDefault="005F4CA1">
      <w:pPr>
        <w:numPr>
          <w:ilvl w:val="0"/>
          <w:numId w:val="1"/>
        </w:numPr>
        <w:spacing w:line="220" w:lineRule="exact"/>
        <w:ind w:left="288" w:right="72" w:hanging="288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1759FB">
        <w:rPr>
          <w:rFonts w:ascii="Courier New" w:hAnsi="Courier New"/>
          <w:color w:val="000000"/>
          <w:sz w:val="20"/>
          <w:lang w:val="hr-HR"/>
        </w:rPr>
        <w:t xml:space="preserve">Stabilni izgledi odražavaju naše stajalište da </w:t>
      </w:r>
      <w:r w:rsidR="00E2022F" w:rsidRPr="001759FB">
        <w:rPr>
          <w:rFonts w:ascii="Courier New" w:hAnsi="Courier New"/>
          <w:color w:val="000000"/>
          <w:sz w:val="20"/>
          <w:lang w:val="hr-HR"/>
        </w:rPr>
        <w:t xml:space="preserve">će </w:t>
      </w:r>
      <w:r w:rsidRPr="001759FB">
        <w:rPr>
          <w:rFonts w:ascii="Courier New" w:hAnsi="Courier New"/>
          <w:color w:val="000000"/>
          <w:sz w:val="20"/>
          <w:lang w:val="hr-HR"/>
        </w:rPr>
        <w:t xml:space="preserve">Zagreb </w:t>
      </w:r>
      <w:r w:rsidR="006970E4" w:rsidRPr="001759FB">
        <w:rPr>
          <w:rFonts w:ascii="Courier New" w:hAnsi="Courier New"/>
          <w:color w:val="000000"/>
          <w:sz w:val="20"/>
          <w:lang w:val="hr-HR"/>
        </w:rPr>
        <w:t xml:space="preserve">tijekom slijedeće godine </w:t>
      </w:r>
      <w:r w:rsidRPr="001759FB">
        <w:rPr>
          <w:rFonts w:ascii="Courier New" w:hAnsi="Courier New"/>
          <w:color w:val="000000"/>
          <w:sz w:val="20"/>
          <w:lang w:val="hr-HR"/>
        </w:rPr>
        <w:t>održa</w:t>
      </w:r>
      <w:r w:rsidR="006970E4" w:rsidRPr="001759FB">
        <w:rPr>
          <w:rFonts w:ascii="Courier New" w:hAnsi="Courier New"/>
          <w:color w:val="000000"/>
          <w:sz w:val="20"/>
          <w:lang w:val="hr-HR"/>
        </w:rPr>
        <w:t>ti</w:t>
      </w:r>
      <w:r w:rsidR="00C2069F" w:rsidRPr="001759FB">
        <w:rPr>
          <w:rFonts w:ascii="Courier New" w:hAnsi="Courier New"/>
          <w:color w:val="000000"/>
          <w:sz w:val="20"/>
          <w:lang w:val="hr-HR"/>
        </w:rPr>
        <w:t xml:space="preserve"> vrlo visoku realizaciju proračuna i nisku razinu zaduženja.</w:t>
      </w:r>
    </w:p>
    <w:p w:rsidR="00150E69" w:rsidRPr="00CD6CA7" w:rsidRDefault="00150E69">
      <w:pPr>
        <w:spacing w:before="222" w:line="324" w:lineRule="exact"/>
        <w:textAlignment w:val="baseline"/>
        <w:rPr>
          <w:rFonts w:ascii="Bookman Old Style" w:hAnsi="Bookman Old Style"/>
          <w:color w:val="C31E29"/>
          <w:spacing w:val="-4"/>
          <w:sz w:val="27"/>
          <w:lang w:val="hr-HR"/>
        </w:rPr>
      </w:pPr>
      <w:r w:rsidRPr="00CD6CA7">
        <w:rPr>
          <w:rFonts w:ascii="Bookman Old Style" w:hAnsi="Bookman Old Style"/>
          <w:color w:val="C31E29"/>
          <w:spacing w:val="-4"/>
          <w:sz w:val="27"/>
          <w:lang w:val="hr-HR"/>
        </w:rPr>
        <w:t>Rejting</w:t>
      </w:r>
    </w:p>
    <w:p w:rsidR="00150E69" w:rsidRPr="001C36EA" w:rsidRDefault="00150E69" w:rsidP="006970E4">
      <w:pPr>
        <w:spacing w:before="50" w:after="240" w:line="259" w:lineRule="exact"/>
        <w:ind w:right="35"/>
        <w:textAlignment w:val="baseline"/>
        <w:rPr>
          <w:rFonts w:ascii="Courier New" w:hAnsi="Courier New"/>
          <w:color w:val="000000"/>
          <w:spacing w:val="-2"/>
          <w:sz w:val="20"/>
          <w:lang w:val="hr-HR"/>
        </w:rPr>
      </w:pP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Agencija Standard &amp; Poor's Global Ratings </w:t>
      </w:r>
      <w:r w:rsidR="00C2069F" w:rsidRPr="001C36EA">
        <w:rPr>
          <w:rFonts w:ascii="Courier New" w:hAnsi="Courier New"/>
          <w:color w:val="000000"/>
          <w:spacing w:val="-2"/>
          <w:sz w:val="20"/>
          <w:lang w:val="hr-HR"/>
        </w:rPr>
        <w:t>izmijenila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je 2</w:t>
      </w:r>
      <w:r w:rsidR="001759FB" w:rsidRPr="001C36EA">
        <w:rPr>
          <w:rFonts w:ascii="Courier New" w:hAnsi="Courier New"/>
          <w:color w:val="000000"/>
          <w:spacing w:val="-2"/>
          <w:sz w:val="20"/>
          <w:lang w:val="hr-HR"/>
        </w:rPr>
        <w:t>2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. </w:t>
      </w:r>
      <w:r w:rsidR="00C2069F" w:rsidRPr="001C36EA">
        <w:rPr>
          <w:rFonts w:ascii="Courier New" w:hAnsi="Courier New"/>
          <w:color w:val="000000"/>
          <w:spacing w:val="-2"/>
          <w:sz w:val="20"/>
          <w:lang w:val="hr-HR"/>
        </w:rPr>
        <w:t>prosinca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2016. </w:t>
      </w:r>
      <w:r w:rsidR="009250D0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izglede 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Grad</w:t>
      </w:r>
      <w:r w:rsidR="009250D0" w:rsidRPr="001C36EA">
        <w:rPr>
          <w:rFonts w:ascii="Courier New" w:hAnsi="Courier New"/>
          <w:color w:val="000000"/>
          <w:spacing w:val="-2"/>
          <w:sz w:val="20"/>
          <w:lang w:val="hr-HR"/>
        </w:rPr>
        <w:t>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Zagreb</w:t>
      </w:r>
      <w:r w:rsidR="009250D0" w:rsidRPr="001C36EA">
        <w:rPr>
          <w:rFonts w:ascii="Courier New" w:hAnsi="Courier New"/>
          <w:color w:val="000000"/>
          <w:spacing w:val="-2"/>
          <w:sz w:val="20"/>
          <w:lang w:val="hr-HR"/>
        </w:rPr>
        <w:t>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, glavno</w:t>
      </w:r>
      <w:r w:rsidR="009250D0" w:rsidRPr="001C36EA">
        <w:rPr>
          <w:rFonts w:ascii="Courier New" w:hAnsi="Courier New"/>
          <w:color w:val="000000"/>
          <w:spacing w:val="-2"/>
          <w:sz w:val="20"/>
          <w:lang w:val="hr-HR"/>
        </w:rPr>
        <w:t>g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grad</w:t>
      </w:r>
      <w:r w:rsidR="009250D0" w:rsidRPr="001C36EA">
        <w:rPr>
          <w:rFonts w:ascii="Courier New" w:hAnsi="Courier New"/>
          <w:color w:val="000000"/>
          <w:spacing w:val="-2"/>
          <w:sz w:val="20"/>
          <w:lang w:val="hr-HR"/>
        </w:rPr>
        <w:t>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Hrvatske, 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>iz negativn</w:t>
      </w:r>
      <w:r w:rsidR="00C2069F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ih u stabilne. Potvrđujemo 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dugoročni kreditni rejting za izdavatelja</w:t>
      </w:r>
      <w:r w:rsidR="00E2022F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na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'BB'.</w:t>
      </w:r>
    </w:p>
    <w:p w:rsidR="00C2069F" w:rsidRPr="001C36EA" w:rsidRDefault="00E9530D">
      <w:pPr>
        <w:spacing w:before="50" w:line="259" w:lineRule="exact"/>
        <w:ind w:right="720"/>
        <w:textAlignment w:val="baseline"/>
        <w:rPr>
          <w:rFonts w:ascii="Courier New" w:hAnsi="Courier New"/>
          <w:color w:val="000000"/>
          <w:spacing w:val="-2"/>
          <w:sz w:val="20"/>
          <w:lang w:val="hr-HR"/>
        </w:rPr>
      </w:pP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K</w:t>
      </w:r>
      <w:r w:rsidR="00C2069F" w:rsidRPr="001C36EA">
        <w:rPr>
          <w:rFonts w:ascii="Courier New" w:hAnsi="Courier New"/>
          <w:color w:val="000000"/>
          <w:spacing w:val="-2"/>
          <w:sz w:val="20"/>
          <w:lang w:val="hr-HR"/>
        </w:rPr>
        <w:t>ao „</w:t>
      </w:r>
      <w:r w:rsidR="00CA1334" w:rsidRPr="001C36EA">
        <w:rPr>
          <w:rFonts w:ascii="Courier New" w:hAnsi="Courier New"/>
          <w:color w:val="000000"/>
          <w:spacing w:val="-2"/>
          <w:sz w:val="20"/>
          <w:lang w:val="hr-HR"/>
        </w:rPr>
        <w:t>državni</w:t>
      </w:r>
      <w:r w:rsidR="00C2069F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rejting“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(kako je definirano EU Uredbom br. 1060/2009 o agencijama za kreditni rejting, „Uredba EU CRA“)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,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rejtinzi Zagreba podliježu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određenim ograničenjima objavljivanja kako je navedeno u čl. 8 st. 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>a</w:t>
      </w:r>
      <w:r w:rsidR="008C6E5E" w:rsidRPr="001C36EA">
        <w:rPr>
          <w:rFonts w:ascii="Courier New" w:hAnsi="Courier New"/>
          <w:color w:val="000000"/>
          <w:spacing w:val="-2"/>
          <w:sz w:val="20"/>
          <w:lang w:val="hr-HR"/>
        </w:rPr>
        <w:t>)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Uredbe EU CRA </w:t>
      </w:r>
      <w:r w:rsidR="001B1B97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uključujući 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>objavljivanj</w:t>
      </w:r>
      <w:r w:rsidR="001B1B97" w:rsidRPr="001C36EA">
        <w:rPr>
          <w:rFonts w:ascii="Courier New" w:hAnsi="Courier New"/>
          <w:color w:val="000000"/>
          <w:spacing w:val="-2"/>
          <w:sz w:val="20"/>
          <w:lang w:val="hr-HR"/>
        </w:rPr>
        <w:t>e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</w:t>
      </w:r>
      <w:r w:rsidR="00585ACF" w:rsidRPr="001C36EA">
        <w:rPr>
          <w:rFonts w:ascii="Courier New" w:hAnsi="Courier New"/>
          <w:color w:val="000000"/>
          <w:spacing w:val="-2"/>
          <w:sz w:val="20"/>
          <w:lang w:val="hr-HR"/>
        </w:rPr>
        <w:t>prema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prethodno utvrđe</w:t>
      </w:r>
      <w:r w:rsidR="00D938D3" w:rsidRPr="001C36EA">
        <w:rPr>
          <w:rFonts w:ascii="Courier New" w:hAnsi="Courier New"/>
          <w:color w:val="000000"/>
          <w:spacing w:val="-2"/>
          <w:sz w:val="20"/>
          <w:lang w:val="hr-HR"/>
        </w:rPr>
        <w:t>nom kalendaru (vidi „Kalendar s</w:t>
      </w:r>
      <w:r w:rsidR="006970E4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datumima objave 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državnoga rejtinga te rejtinga </w:t>
      </w:r>
      <w:r w:rsidR="00E22E98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jedinica </w:t>
      </w:r>
      <w:r w:rsidR="00E2022F" w:rsidRPr="001C36EA">
        <w:rPr>
          <w:rFonts w:ascii="Courier New" w:hAnsi="Courier New"/>
          <w:color w:val="000000"/>
          <w:spacing w:val="-2"/>
          <w:sz w:val="20"/>
          <w:lang w:val="hr-HR"/>
        </w:rPr>
        <w:t>područnih (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>regionalnih</w:t>
      </w:r>
      <w:r w:rsidR="00E2022F" w:rsidRPr="001C36EA">
        <w:rPr>
          <w:rFonts w:ascii="Courier New" w:hAnsi="Courier New"/>
          <w:color w:val="000000"/>
          <w:spacing w:val="-2"/>
          <w:sz w:val="20"/>
          <w:lang w:val="hr-HR"/>
        </w:rPr>
        <w:t>)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i lokalnih </w:t>
      </w:r>
      <w:r w:rsidR="00E2022F" w:rsidRPr="001C36EA">
        <w:rPr>
          <w:rFonts w:ascii="Courier New" w:hAnsi="Courier New"/>
          <w:color w:val="000000"/>
          <w:spacing w:val="-2"/>
          <w:sz w:val="20"/>
          <w:lang w:val="hr-HR"/>
        </w:rPr>
        <w:t>samouprava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za 2017</w:t>
      </w:r>
      <w:r w:rsidR="00585ACF" w:rsidRPr="001C36EA">
        <w:rPr>
          <w:rFonts w:ascii="Courier New" w:hAnsi="Courier New"/>
          <w:color w:val="000000"/>
          <w:spacing w:val="-2"/>
          <w:sz w:val="20"/>
          <w:lang w:val="hr-HR"/>
        </w:rPr>
        <w:t>. godinu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za države EMEA-e, objavljen 16. prosinca 2016. na RatingsDirect). </w:t>
      </w:r>
      <w:r w:rsidR="00D938D3" w:rsidRPr="001C36EA">
        <w:rPr>
          <w:rFonts w:ascii="Courier New" w:hAnsi="Courier New"/>
          <w:color w:val="000000"/>
          <w:spacing w:val="-2"/>
          <w:sz w:val="20"/>
          <w:lang w:val="hr-HR"/>
        </w:rPr>
        <w:t>Sukladno Uredbi EU CRA, o</w:t>
      </w:r>
      <w:r w:rsidR="00E22E98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dstupanja od objavljenog kalendara su dopuštena 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samo u ograničenim okolnostima i moraju biti popraćena detaljnim objašnjenjem razloga odstupanja. U slučaju Zagreba odstupanje je uzrokovano revizijom izgleda Republike Hrvatske 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iz </w:t>
      </w:r>
      <w:r w:rsidR="00B83D93" w:rsidRPr="001C36EA">
        <w:rPr>
          <w:rFonts w:ascii="Courier New" w:hAnsi="Courier New"/>
          <w:color w:val="000000"/>
          <w:spacing w:val="-2"/>
          <w:sz w:val="20"/>
          <w:lang w:val="hr-HR"/>
        </w:rPr>
        <w:t>negativn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ih u stabilne dana 16. prosinca 2016. </w:t>
      </w:r>
      <w:r w:rsidR="00E22E98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godine. 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Sljedeća </w:t>
      </w:r>
      <w:r w:rsidR="00D938D3" w:rsidRPr="001C36EA">
        <w:rPr>
          <w:rFonts w:ascii="Courier New" w:hAnsi="Courier New"/>
          <w:color w:val="000000"/>
          <w:spacing w:val="-2"/>
          <w:sz w:val="20"/>
          <w:lang w:val="hr-HR"/>
        </w:rPr>
        <w:t>planirana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objava našeg rejtinga Zagreba je 2017. godin</w:t>
      </w:r>
      <w:r w:rsidR="00E22E98" w:rsidRPr="001C36EA">
        <w:rPr>
          <w:rFonts w:ascii="Courier New" w:hAnsi="Courier New"/>
          <w:color w:val="000000"/>
          <w:spacing w:val="-2"/>
          <w:sz w:val="20"/>
          <w:lang w:val="hr-HR"/>
        </w:rPr>
        <w:t>e</w:t>
      </w:r>
      <w:r w:rsidR="002B1196" w:rsidRPr="001C36EA">
        <w:rPr>
          <w:rFonts w:ascii="Courier New" w:hAnsi="Courier New"/>
          <w:color w:val="000000"/>
          <w:spacing w:val="-2"/>
          <w:sz w:val="20"/>
          <w:lang w:val="hr-HR"/>
        </w:rPr>
        <w:t>.</w:t>
      </w:r>
    </w:p>
    <w:p w:rsidR="00150E69" w:rsidRPr="001C36EA" w:rsidRDefault="00150E69">
      <w:pPr>
        <w:spacing w:before="346" w:line="324" w:lineRule="exact"/>
        <w:textAlignment w:val="baseline"/>
        <w:rPr>
          <w:rFonts w:ascii="Bookman Old Style" w:hAnsi="Bookman Old Style"/>
          <w:color w:val="C31E29"/>
          <w:spacing w:val="-5"/>
          <w:sz w:val="27"/>
          <w:lang w:val="hr-HR"/>
        </w:rPr>
      </w:pPr>
      <w:r w:rsidRPr="001C36EA">
        <w:rPr>
          <w:rFonts w:ascii="Bookman Old Style" w:hAnsi="Bookman Old Style"/>
          <w:color w:val="C31E29"/>
          <w:spacing w:val="-5"/>
          <w:sz w:val="27"/>
          <w:lang w:val="hr-HR"/>
        </w:rPr>
        <w:t>Obrazloženje</w:t>
      </w:r>
    </w:p>
    <w:p w:rsidR="00D441E5" w:rsidRDefault="00D441E5">
      <w:pPr>
        <w:spacing w:before="51" w:line="259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1C36EA">
        <w:rPr>
          <w:rFonts w:ascii="Courier New" w:hAnsi="Courier New"/>
          <w:color w:val="000000"/>
          <w:sz w:val="20"/>
          <w:lang w:val="hr-HR"/>
        </w:rPr>
        <w:t xml:space="preserve">Izmjena rejtinga Zagreba slijedi našu </w:t>
      </w:r>
      <w:r w:rsidR="001759FB" w:rsidRPr="001C36EA">
        <w:rPr>
          <w:rFonts w:ascii="Courier New" w:hAnsi="Courier New"/>
          <w:color w:val="000000"/>
          <w:sz w:val="20"/>
          <w:lang w:val="hr-HR"/>
        </w:rPr>
        <w:t>izmjenu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 izgleda Hrvatske iz negativnih u stabilne dana 16. prosinca 2016. (vidi „Izgledi Hrvatske izmijenjeni u stabilne zbog jačeg rasta i smanjenog fiskalnog </w:t>
      </w:r>
      <w:r w:rsidR="00CB59AE" w:rsidRPr="001C36EA">
        <w:rPr>
          <w:rFonts w:ascii="Courier New" w:hAnsi="Courier New"/>
          <w:color w:val="000000"/>
          <w:sz w:val="20"/>
          <w:lang w:val="hr-HR"/>
        </w:rPr>
        <w:t>opterećenja</w:t>
      </w:r>
      <w:r w:rsidRPr="001C36EA">
        <w:rPr>
          <w:rFonts w:ascii="Courier New" w:hAnsi="Courier New"/>
          <w:color w:val="000000"/>
          <w:sz w:val="20"/>
          <w:lang w:val="hr-HR"/>
        </w:rPr>
        <w:t>; Potvrđen 'BB/B' rejting,“ objavljen na RatingsDirect).</w:t>
      </w:r>
      <w:r w:rsidR="00E22E98"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Dugoročni rejting Zagreba ostaje na jednakoj razini kao i državni. Trenutno ne bismo </w:t>
      </w:r>
      <w:r w:rsidR="00D938D3" w:rsidRPr="001C36EA">
        <w:rPr>
          <w:rFonts w:ascii="Courier New" w:hAnsi="Courier New"/>
          <w:color w:val="000000"/>
          <w:sz w:val="20"/>
          <w:lang w:val="hr-HR"/>
        </w:rPr>
        <w:t>utvrđivali kreditni rejting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="00E22E98" w:rsidRPr="001C36EA">
        <w:rPr>
          <w:rFonts w:ascii="Courier New" w:hAnsi="Courier New"/>
          <w:color w:val="000000"/>
          <w:sz w:val="20"/>
          <w:lang w:val="hr-HR"/>
        </w:rPr>
        <w:t>jedinic</w:t>
      </w:r>
      <w:r w:rsidR="00D938D3" w:rsidRPr="001C36EA">
        <w:rPr>
          <w:rFonts w:ascii="Courier New" w:hAnsi="Courier New"/>
          <w:color w:val="000000"/>
          <w:sz w:val="20"/>
          <w:lang w:val="hr-HR"/>
        </w:rPr>
        <w:t>a</w:t>
      </w:r>
      <w:r w:rsidR="00E22E98"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lokalne i </w:t>
      </w:r>
      <w:r w:rsidR="00E2022F" w:rsidRPr="001C36EA">
        <w:rPr>
          <w:rFonts w:ascii="Courier New" w:hAnsi="Courier New"/>
          <w:color w:val="000000"/>
          <w:sz w:val="20"/>
          <w:lang w:val="hr-HR"/>
        </w:rPr>
        <w:t>područne (</w:t>
      </w:r>
      <w:r w:rsidRPr="001C36EA">
        <w:rPr>
          <w:rFonts w:ascii="Courier New" w:hAnsi="Courier New"/>
          <w:color w:val="000000"/>
          <w:sz w:val="20"/>
          <w:lang w:val="hr-HR"/>
        </w:rPr>
        <w:t>regionalne</w:t>
      </w:r>
      <w:r w:rsidR="00E2022F" w:rsidRPr="001C36EA">
        <w:rPr>
          <w:rFonts w:ascii="Courier New" w:hAnsi="Courier New"/>
          <w:color w:val="000000"/>
          <w:sz w:val="20"/>
          <w:lang w:val="hr-HR"/>
        </w:rPr>
        <w:t>)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="00E2022F" w:rsidRPr="001C36EA">
        <w:rPr>
          <w:rFonts w:ascii="Courier New" w:hAnsi="Courier New"/>
          <w:color w:val="000000"/>
          <w:sz w:val="20"/>
          <w:lang w:val="hr-HR"/>
        </w:rPr>
        <w:t>samouprave u Hrvatskoj iznad državnog rejtinga</w:t>
      </w:r>
      <w:r w:rsidRPr="001C36EA">
        <w:rPr>
          <w:rFonts w:ascii="Courier New" w:hAnsi="Courier New"/>
          <w:color w:val="000000"/>
          <w:sz w:val="20"/>
          <w:lang w:val="hr-HR"/>
        </w:rPr>
        <w:t>.</w:t>
      </w:r>
    </w:p>
    <w:p w:rsidR="00D441E5" w:rsidRDefault="00D441E5">
      <w:pPr>
        <w:spacing w:before="51" w:line="259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</w:p>
    <w:p w:rsidR="00150E69" w:rsidRPr="00CD6CA7" w:rsidRDefault="00150E69">
      <w:pPr>
        <w:spacing w:before="51" w:line="259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CD6CA7">
        <w:rPr>
          <w:rFonts w:ascii="Courier New" w:hAnsi="Courier New"/>
          <w:color w:val="000000"/>
          <w:sz w:val="20"/>
          <w:lang w:val="hr-HR"/>
        </w:rPr>
        <w:t xml:space="preserve">Rejting Zagreba odražava slabu proračunsku fleksibilnost, financijsko upravljanje i stanje likvidnosti </w:t>
      </w:r>
      <w:r w:rsidR="00E2022F" w:rsidRPr="00CD6CA7">
        <w:rPr>
          <w:rFonts w:ascii="Courier New" w:hAnsi="Courier New"/>
          <w:color w:val="000000"/>
          <w:sz w:val="20"/>
          <w:lang w:val="hr-HR"/>
        </w:rPr>
        <w:t xml:space="preserve">grada </w:t>
      </w:r>
      <w:r w:rsidRPr="00CD6CA7">
        <w:rPr>
          <w:rFonts w:ascii="Courier New" w:hAnsi="Courier New"/>
          <w:color w:val="000000"/>
          <w:sz w:val="20"/>
          <w:lang w:val="hr-HR"/>
        </w:rPr>
        <w:t>te promjenjiv i neuravnotežen institucionalni okvir u kojem djeluju jedinice lokalne i područne (regionalne) samouprave</w:t>
      </w:r>
      <w:r w:rsidR="00E22E98">
        <w:rPr>
          <w:rFonts w:ascii="Courier New" w:hAnsi="Courier New"/>
          <w:color w:val="000000"/>
          <w:sz w:val="20"/>
          <w:lang w:val="hr-HR"/>
        </w:rPr>
        <w:t xml:space="preserve"> u Hrvatskoj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. </w:t>
      </w:r>
      <w:r w:rsidR="004660EE">
        <w:rPr>
          <w:rFonts w:ascii="Courier New" w:hAnsi="Courier New"/>
          <w:color w:val="000000"/>
          <w:sz w:val="20"/>
          <w:lang w:val="hr-HR"/>
        </w:rPr>
        <w:t>To se temelji na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naš</w:t>
      </w:r>
      <w:r w:rsidR="004660EE">
        <w:rPr>
          <w:rFonts w:ascii="Courier New" w:hAnsi="Courier New"/>
          <w:color w:val="000000"/>
          <w:sz w:val="20"/>
          <w:lang w:val="hr-HR"/>
        </w:rPr>
        <w:t>oj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procjen</w:t>
      </w:r>
      <w:r w:rsidR="004660EE">
        <w:rPr>
          <w:rFonts w:ascii="Courier New" w:hAnsi="Courier New"/>
          <w:color w:val="000000"/>
          <w:sz w:val="20"/>
          <w:lang w:val="hr-HR"/>
        </w:rPr>
        <w:t>i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zagrebačkog gospodarstva kao prosječnog, vrlo visok</w:t>
      </w:r>
      <w:r w:rsidR="004660EE">
        <w:rPr>
          <w:rFonts w:ascii="Courier New" w:hAnsi="Courier New"/>
          <w:color w:val="000000"/>
          <w:sz w:val="20"/>
          <w:lang w:val="hr-HR"/>
        </w:rPr>
        <w:t>e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realizacij</w:t>
      </w:r>
      <w:r w:rsidR="004660EE">
        <w:rPr>
          <w:rFonts w:ascii="Courier New" w:hAnsi="Courier New"/>
          <w:color w:val="000000"/>
          <w:sz w:val="20"/>
          <w:lang w:val="hr-HR"/>
        </w:rPr>
        <w:t>e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proračuna, ni</w:t>
      </w:r>
      <w:r w:rsidR="004660EE">
        <w:rPr>
          <w:rFonts w:ascii="Courier New" w:hAnsi="Courier New"/>
          <w:color w:val="000000"/>
          <w:sz w:val="20"/>
          <w:lang w:val="hr-HR"/>
        </w:rPr>
        <w:t>skog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dug</w:t>
      </w:r>
      <w:r w:rsidR="004660EE">
        <w:rPr>
          <w:rFonts w:ascii="Courier New" w:hAnsi="Courier New"/>
          <w:color w:val="000000"/>
          <w:sz w:val="20"/>
          <w:lang w:val="hr-HR"/>
        </w:rPr>
        <w:t>a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i umjeren</w:t>
      </w:r>
      <w:r w:rsidR="004660EE">
        <w:rPr>
          <w:rFonts w:ascii="Courier New" w:hAnsi="Courier New"/>
          <w:color w:val="000000"/>
          <w:sz w:val="20"/>
          <w:lang w:val="hr-HR"/>
        </w:rPr>
        <w:t>ih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potencijaln</w:t>
      </w:r>
      <w:r w:rsidR="004660EE">
        <w:rPr>
          <w:rFonts w:ascii="Courier New" w:hAnsi="Courier New"/>
          <w:color w:val="000000"/>
          <w:sz w:val="20"/>
          <w:lang w:val="hr-HR"/>
        </w:rPr>
        <w:t>ih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obvez</w:t>
      </w:r>
      <w:r w:rsidR="004660EE">
        <w:rPr>
          <w:rFonts w:ascii="Courier New" w:hAnsi="Courier New"/>
          <w:color w:val="000000"/>
          <w:sz w:val="20"/>
          <w:lang w:val="hr-HR"/>
        </w:rPr>
        <w:t>a</w:t>
      </w:r>
      <w:r w:rsidRPr="00CD6CA7">
        <w:rPr>
          <w:rFonts w:ascii="Courier New" w:hAnsi="Courier New"/>
          <w:color w:val="000000"/>
          <w:sz w:val="20"/>
          <w:lang w:val="hr-HR"/>
        </w:rPr>
        <w:t>. Procjenjujemo samostalni kreditni profil</w:t>
      </w:r>
      <w:r w:rsidR="004660EE">
        <w:rPr>
          <w:rFonts w:ascii="Courier New" w:hAnsi="Courier New"/>
          <w:color w:val="000000"/>
          <w:sz w:val="20"/>
          <w:lang w:val="hr-HR"/>
        </w:rPr>
        <w:t xml:space="preserve"> (SACP)</w:t>
      </w:r>
      <w:r w:rsidRPr="00CD6CA7">
        <w:rPr>
          <w:rFonts w:ascii="Courier New" w:hAnsi="Courier New"/>
          <w:color w:val="000000"/>
          <w:sz w:val="20"/>
          <w:lang w:val="hr-HR"/>
        </w:rPr>
        <w:t xml:space="preserve"> Zagreba na 'bb'.</w:t>
      </w:r>
    </w:p>
    <w:p w:rsidR="00150E69" w:rsidRPr="00CD6CA7" w:rsidRDefault="008846BB" w:rsidP="009A097F">
      <w:pPr>
        <w:spacing w:before="271" w:line="259" w:lineRule="exact"/>
        <w:textAlignment w:val="baseline"/>
        <w:rPr>
          <w:rFonts w:ascii="Courier New" w:hAnsi="Courier New"/>
          <w:color w:val="000000"/>
          <w:spacing w:val="-2"/>
          <w:sz w:val="20"/>
          <w:lang w:val="hr-HR"/>
        </w:rPr>
      </w:pPr>
      <w:hyperlink r:id="rId11">
        <w:r w:rsidR="00150E69" w:rsidRPr="00CD6CA7">
          <w:rPr>
            <w:rFonts w:eastAsia="Times New Roman"/>
            <w:b/>
            <w:color w:val="0000FF"/>
            <w:sz w:val="16"/>
            <w:u w:val="single"/>
            <w:lang w:val="hr-HR"/>
          </w:rPr>
          <w:t>WWW.STANDARDANDPOORS.COM/RATINGSDIRECT</w:t>
        </w:r>
      </w:hyperlink>
      <w:r w:rsidR="00235E52">
        <w:rPr>
          <w:rFonts w:eastAsia="Times New Roman"/>
          <w:b/>
          <w:color w:val="000000"/>
          <w:sz w:val="16"/>
          <w:lang w:val="hr-HR"/>
        </w:rPr>
        <w:tab/>
      </w:r>
      <w:r w:rsidR="00235E52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C36EA">
        <w:rPr>
          <w:rFonts w:eastAsia="Times New Roman"/>
          <w:b/>
          <w:color w:val="000000"/>
          <w:sz w:val="16"/>
          <w:lang w:val="hr-HR"/>
        </w:rPr>
        <w:t>22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. </w:t>
      </w:r>
      <w:r w:rsidR="00E2022F">
        <w:rPr>
          <w:rFonts w:eastAsia="Times New Roman"/>
          <w:b/>
          <w:color w:val="000000"/>
          <w:sz w:val="16"/>
          <w:lang w:val="hr-HR"/>
        </w:rPr>
        <w:t>prosinca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 2016. 2</w:t>
      </w:r>
    </w:p>
    <w:p w:rsidR="00150E69" w:rsidRPr="00CD6CA7" w:rsidRDefault="001C36EA">
      <w:pPr>
        <w:spacing w:before="78" w:line="178" w:lineRule="exact"/>
        <w:jc w:val="right"/>
        <w:textAlignment w:val="baseline"/>
        <w:rPr>
          <w:rFonts w:eastAsia="Times New Roman"/>
          <w:b/>
          <w:color w:val="B2AEB4"/>
          <w:spacing w:val="8"/>
          <w:sz w:val="15"/>
          <w:lang w:val="hr-HR"/>
        </w:rPr>
      </w:pPr>
      <w:r>
        <w:rPr>
          <w:rFonts w:eastAsia="Times New Roman"/>
          <w:b/>
          <w:color w:val="B2AEB4"/>
          <w:spacing w:val="8"/>
          <w:sz w:val="15"/>
          <w:lang w:val="hr-HR"/>
        </w:rPr>
        <w:t>1778053</w:t>
      </w:r>
      <w:r w:rsidR="00150E69" w:rsidRPr="00CD6CA7">
        <w:rPr>
          <w:rFonts w:eastAsia="Times New Roman"/>
          <w:b/>
          <w:color w:val="B2AEB4"/>
          <w:spacing w:val="8"/>
          <w:sz w:val="15"/>
          <w:lang w:val="hr-HR"/>
        </w:rPr>
        <w:t xml:space="preserve"> | </w:t>
      </w:r>
      <w:r>
        <w:rPr>
          <w:rFonts w:eastAsia="Times New Roman"/>
          <w:b/>
          <w:color w:val="B2AEB4"/>
          <w:spacing w:val="8"/>
          <w:sz w:val="15"/>
          <w:lang w:val="hr-HR"/>
        </w:rPr>
        <w:t>300303550</w:t>
      </w:r>
    </w:p>
    <w:p w:rsidR="00150E69" w:rsidRPr="00CD6CA7" w:rsidRDefault="00150E69">
      <w:pPr>
        <w:rPr>
          <w:lang w:val="hr-HR"/>
        </w:rPr>
        <w:sectPr w:rsidR="00150E69" w:rsidRPr="00CD6CA7" w:rsidSect="00E2022F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150E69" w:rsidRPr="00CD6CA7" w:rsidRDefault="00150E69">
      <w:pPr>
        <w:spacing w:before="21" w:line="230" w:lineRule="exact"/>
        <w:jc w:val="right"/>
        <w:textAlignment w:val="baseline"/>
        <w:rPr>
          <w:rFonts w:eastAsia="Times New Roman"/>
          <w:i/>
          <w:color w:val="000000"/>
          <w:spacing w:val="-5"/>
          <w:sz w:val="21"/>
          <w:lang w:val="hr-HR"/>
        </w:rPr>
      </w:pP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lastRenderedPageBreak/>
        <w:t xml:space="preserve">Ažurirano istraživanje: </w:t>
      </w:r>
      <w:r w:rsidR="00E2022F">
        <w:rPr>
          <w:rFonts w:eastAsia="Times New Roman"/>
          <w:i/>
          <w:color w:val="000000"/>
          <w:spacing w:val="-5"/>
          <w:sz w:val="21"/>
          <w:lang w:val="hr-HR"/>
        </w:rPr>
        <w:t>Izgledi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Zagreba, glavnog grada Hrvatske,</w:t>
      </w:r>
      <w:r w:rsidR="00E2022F">
        <w:rPr>
          <w:rFonts w:eastAsia="Times New Roman"/>
          <w:i/>
          <w:color w:val="000000"/>
          <w:spacing w:val="-5"/>
          <w:sz w:val="21"/>
          <w:lang w:val="hr-HR"/>
        </w:rPr>
        <w:t xml:space="preserve"> promijenjeni u stabilne nakon slične izmjene rejtinga Hrvatska;</w:t>
      </w:r>
      <w:r w:rsidR="000414D2">
        <w:rPr>
          <w:rFonts w:eastAsia="Times New Roman"/>
          <w:i/>
          <w:color w:val="000000"/>
          <w:spacing w:val="-5"/>
          <w:sz w:val="21"/>
          <w:lang w:val="hr-HR"/>
        </w:rPr>
        <w:t xml:space="preserve"> P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>otvrđen</w:t>
      </w:r>
      <w:r w:rsidR="00E2022F">
        <w:rPr>
          <w:rFonts w:eastAsia="Times New Roman"/>
          <w:i/>
          <w:color w:val="000000"/>
          <w:spacing w:val="-5"/>
          <w:sz w:val="21"/>
          <w:lang w:val="hr-HR"/>
        </w:rPr>
        <w:t xml:space="preserve"> rejting na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'BB'</w:t>
      </w:r>
    </w:p>
    <w:p w:rsidR="00150E69" w:rsidRPr="00CD6CA7" w:rsidRDefault="00150E69">
      <w:pPr>
        <w:spacing w:before="333" w:line="333" w:lineRule="exact"/>
        <w:textAlignment w:val="baseline"/>
        <w:rPr>
          <w:rFonts w:eastAsia="Times New Roman"/>
          <w:b/>
          <w:color w:val="C31E29"/>
          <w:sz w:val="29"/>
          <w:lang w:val="hr-HR"/>
        </w:rPr>
      </w:pPr>
      <w:r w:rsidRPr="00CD6CA7">
        <w:rPr>
          <w:rFonts w:eastAsia="Times New Roman"/>
          <w:b/>
          <w:color w:val="C31E29"/>
          <w:sz w:val="29"/>
          <w:lang w:val="hr-HR"/>
        </w:rPr>
        <w:t>Izgledi</w:t>
      </w:r>
    </w:p>
    <w:p w:rsidR="00150E69" w:rsidRPr="00CD6CA7" w:rsidRDefault="00BB6ADF">
      <w:pPr>
        <w:spacing w:before="47" w:line="260" w:lineRule="exact"/>
        <w:textAlignment w:val="baseline"/>
        <w:rPr>
          <w:rFonts w:ascii="Courier New" w:hAnsi="Courier New"/>
          <w:color w:val="000000"/>
          <w:spacing w:val="-2"/>
          <w:sz w:val="20"/>
          <w:lang w:val="hr-HR"/>
        </w:rPr>
      </w:pP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Stabilni</w:t>
      </w:r>
      <w:r w:rsidR="00150E69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izgledi za Zagreb 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odražavaju naše očekivanje da će grad nastaviti</w:t>
      </w:r>
      <w:r w:rsidR="00150E69" w:rsidRPr="001C36EA">
        <w:rPr>
          <w:rFonts w:ascii="Courier New" w:hAnsi="Courier New"/>
          <w:color w:val="000000"/>
          <w:spacing w:val="-2"/>
          <w:sz w:val="20"/>
          <w:lang w:val="hr-HR"/>
        </w:rPr>
        <w:t xml:space="preserve"> </w:t>
      </w:r>
      <w:r w:rsidRPr="001C36EA">
        <w:rPr>
          <w:rFonts w:ascii="Courier New" w:hAnsi="Courier New"/>
          <w:color w:val="000000"/>
          <w:spacing w:val="-2"/>
          <w:sz w:val="20"/>
          <w:lang w:val="hr-HR"/>
        </w:rPr>
        <w:t>postupati u skladu s našim osnovnim scenarijem tijekom sljedećih 12 mjeseci.</w:t>
      </w:r>
    </w:p>
    <w:p w:rsidR="00150E69" w:rsidRPr="00CD6CA7" w:rsidRDefault="00BB6ADF">
      <w:pPr>
        <w:spacing w:before="259" w:line="260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  <w:r>
        <w:rPr>
          <w:rFonts w:ascii="Courier New" w:hAnsi="Courier New"/>
          <w:color w:val="000000"/>
          <w:sz w:val="20"/>
          <w:lang w:val="hr-HR"/>
        </w:rPr>
        <w:t>M</w:t>
      </w:r>
      <w:r w:rsidR="00150E69" w:rsidRPr="00CD6CA7">
        <w:rPr>
          <w:rFonts w:ascii="Courier New" w:hAnsi="Courier New"/>
          <w:color w:val="000000"/>
          <w:sz w:val="20"/>
          <w:lang w:val="hr-HR"/>
        </w:rPr>
        <w:t xml:space="preserve">ogli bismo razmotriti smanjivanje rejtinga za Zagreb ako primijetimo slabljenje realizacije proračuna, što također može dovesti i do slabije ocjene gradskog duga ako bi operativni viškovi bili niži od očekivanih u našoj prognozi. Također bismo mogli smanjiti rejting ako primijetimo </w:t>
      </w:r>
      <w:r w:rsidR="000376CB">
        <w:rPr>
          <w:rFonts w:ascii="Courier New" w:hAnsi="Courier New"/>
          <w:color w:val="000000"/>
          <w:sz w:val="20"/>
          <w:lang w:val="hr-HR"/>
        </w:rPr>
        <w:t>pogoršanje</w:t>
      </w:r>
      <w:r w:rsidR="00150E69" w:rsidRPr="00CD6CA7">
        <w:rPr>
          <w:rFonts w:ascii="Courier New" w:hAnsi="Courier New"/>
          <w:color w:val="000000"/>
          <w:sz w:val="20"/>
          <w:lang w:val="hr-HR"/>
        </w:rPr>
        <w:t xml:space="preserve"> likvidnost</w:t>
      </w:r>
      <w:r w:rsidR="000376CB">
        <w:rPr>
          <w:rFonts w:ascii="Courier New" w:hAnsi="Courier New"/>
          <w:color w:val="000000"/>
          <w:sz w:val="20"/>
          <w:lang w:val="hr-HR"/>
        </w:rPr>
        <w:t>i</w:t>
      </w:r>
      <w:r w:rsidR="00150E69" w:rsidRPr="00CD6CA7">
        <w:rPr>
          <w:rFonts w:ascii="Courier New" w:hAnsi="Courier New"/>
          <w:color w:val="000000"/>
          <w:sz w:val="20"/>
          <w:lang w:val="hr-HR"/>
        </w:rPr>
        <w:t xml:space="preserve"> grada uslijed smanjenja novčanih rezervi ili ako promijenimo našu ocjenu financijskog upravljanja </w:t>
      </w:r>
      <w:r>
        <w:rPr>
          <w:rFonts w:ascii="Courier New" w:hAnsi="Courier New"/>
          <w:color w:val="000000"/>
          <w:sz w:val="20"/>
          <w:lang w:val="hr-HR"/>
        </w:rPr>
        <w:t>g</w:t>
      </w:r>
      <w:r w:rsidR="00150E69" w:rsidRPr="00CD6CA7">
        <w:rPr>
          <w:rFonts w:ascii="Courier New" w:hAnsi="Courier New"/>
          <w:color w:val="000000"/>
          <w:sz w:val="20"/>
          <w:lang w:val="hr-HR"/>
        </w:rPr>
        <w:t xml:space="preserve">radom uslijed neizvjesnosti povezanih s političkim vodstvom. </w:t>
      </w:r>
    </w:p>
    <w:p w:rsidR="00150E69" w:rsidRPr="00CD6CA7" w:rsidRDefault="00150E69">
      <w:pPr>
        <w:spacing w:before="257" w:line="260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1C36EA">
        <w:rPr>
          <w:rFonts w:ascii="Courier New" w:hAnsi="Courier New"/>
          <w:color w:val="000000"/>
          <w:sz w:val="20"/>
          <w:lang w:val="hr-HR"/>
        </w:rPr>
        <w:t>Mogli bismo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povećati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>rejting</w:t>
      </w:r>
      <w:r w:rsidRPr="001C36EA">
        <w:rPr>
          <w:rFonts w:ascii="Courier New" w:hAnsi="Courier New"/>
          <w:color w:val="000000"/>
          <w:sz w:val="20"/>
          <w:lang w:val="hr-HR"/>
        </w:rPr>
        <w:t xml:space="preserve"> ako 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>grad strukturno poboljša svoj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u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likvidnost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, 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čime bi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slobodni novac 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čvrsto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prem</w:t>
      </w:r>
      <w:r w:rsidR="00DB4581" w:rsidRPr="001C36EA">
        <w:rPr>
          <w:rFonts w:ascii="Courier New" w:hAnsi="Courier New"/>
          <w:color w:val="000000"/>
          <w:sz w:val="20"/>
          <w:lang w:val="hr-HR"/>
        </w:rPr>
        <w:t>a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>š</w:t>
      </w:r>
      <w:r w:rsidR="00D41289" w:rsidRPr="001C36EA">
        <w:rPr>
          <w:rFonts w:ascii="Courier New" w:hAnsi="Courier New"/>
          <w:color w:val="000000"/>
          <w:sz w:val="20"/>
          <w:lang w:val="hr-HR"/>
        </w:rPr>
        <w:t>i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o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80% godišnje</w:t>
      </w:r>
      <w:r w:rsidR="00DB4581" w:rsidRPr="001C36EA">
        <w:rPr>
          <w:rFonts w:ascii="Courier New" w:hAnsi="Courier New"/>
          <w:color w:val="000000"/>
          <w:sz w:val="20"/>
          <w:lang w:val="hr-HR"/>
        </w:rPr>
        <w:t>g servisiranja duga.</w:t>
      </w:r>
      <w:r w:rsidR="00BB6ADF" w:rsidRPr="001C36EA">
        <w:rPr>
          <w:rFonts w:ascii="Courier New" w:hAnsi="Courier New"/>
          <w:color w:val="000000"/>
          <w:sz w:val="20"/>
          <w:lang w:val="hr-HR"/>
        </w:rPr>
        <w:t xml:space="preserve"> </w:t>
      </w:r>
      <w:r w:rsidR="00D41289" w:rsidRPr="001C36EA">
        <w:rPr>
          <w:rFonts w:ascii="Courier New" w:hAnsi="Courier New"/>
          <w:color w:val="000000"/>
          <w:sz w:val="20"/>
          <w:lang w:val="hr-HR"/>
        </w:rPr>
        <w:t xml:space="preserve">Izgled poboljšanja međutim </w:t>
      </w:r>
      <w:r w:rsidR="00B95B72" w:rsidRPr="001C36EA">
        <w:rPr>
          <w:rFonts w:ascii="Courier New" w:hAnsi="Courier New"/>
          <w:color w:val="000000"/>
          <w:sz w:val="20"/>
          <w:lang w:val="hr-HR"/>
        </w:rPr>
        <w:t>o</w:t>
      </w:r>
      <w:r w:rsidR="00D41289" w:rsidRPr="001C36EA">
        <w:rPr>
          <w:rFonts w:ascii="Courier New" w:hAnsi="Courier New"/>
          <w:color w:val="000000"/>
          <w:sz w:val="20"/>
          <w:lang w:val="hr-HR"/>
        </w:rPr>
        <w:t>visi i o promijeni državnog rejtinga obzirom da prema našim kriterijima gradovi u Hrvatskoj ne mogu biti rangirani iznad državnog rejtinga</w:t>
      </w:r>
      <w:r w:rsidRPr="001C36EA">
        <w:rPr>
          <w:rFonts w:ascii="Courier New" w:hAnsi="Courier New"/>
          <w:color w:val="000000"/>
          <w:sz w:val="20"/>
          <w:lang w:val="hr-HR"/>
        </w:rPr>
        <w:t>.</w:t>
      </w:r>
      <w:r w:rsidRPr="00CD6CA7">
        <w:rPr>
          <w:color w:val="231F20"/>
          <w:lang w:val="hr-HR"/>
        </w:rPr>
        <w:t xml:space="preserve"> </w:t>
      </w:r>
    </w:p>
    <w:p w:rsidR="00150E69" w:rsidRPr="00CD6CA7" w:rsidRDefault="00150E69">
      <w:pPr>
        <w:spacing w:before="337" w:line="333" w:lineRule="exact"/>
        <w:textAlignment w:val="baseline"/>
        <w:rPr>
          <w:rFonts w:eastAsia="Times New Roman"/>
          <w:b/>
          <w:color w:val="C31E29"/>
          <w:sz w:val="29"/>
          <w:lang w:val="hr-HR"/>
        </w:rPr>
      </w:pPr>
      <w:r w:rsidRPr="00CD6CA7">
        <w:rPr>
          <w:rFonts w:eastAsia="Times New Roman"/>
          <w:b/>
          <w:color w:val="C31E29"/>
          <w:sz w:val="29"/>
          <w:lang w:val="hr-HR"/>
        </w:rPr>
        <w:t>Ključni statistički podaci</w:t>
      </w:r>
    </w:p>
    <w:p w:rsidR="00150E69" w:rsidRPr="00CD6CA7" w:rsidRDefault="00150E69">
      <w:pPr>
        <w:spacing w:before="64" w:after="67" w:line="187" w:lineRule="exact"/>
        <w:textAlignment w:val="baseline"/>
        <w:rPr>
          <w:rFonts w:eastAsia="Times New Roman"/>
          <w:b/>
          <w:color w:val="000000"/>
          <w:sz w:val="17"/>
          <w:lang w:val="hr-HR"/>
        </w:rPr>
      </w:pPr>
      <w:r w:rsidRPr="00CD6CA7">
        <w:rPr>
          <w:rFonts w:eastAsia="Times New Roman"/>
          <w:b/>
          <w:color w:val="000000"/>
          <w:sz w:val="17"/>
          <w:lang w:val="hr-HR"/>
        </w:rPr>
        <w:t>Tablica 1</w:t>
      </w:r>
      <w:r w:rsidR="00BB6ADF">
        <w:rPr>
          <w:rFonts w:eastAsia="Times New Roman"/>
          <w:b/>
          <w:color w:val="000000"/>
          <w:sz w:val="17"/>
          <w:lang w:val="hr-HR"/>
        </w:rPr>
        <w:t>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1"/>
        <w:gridCol w:w="1253"/>
        <w:gridCol w:w="696"/>
        <w:gridCol w:w="816"/>
        <w:gridCol w:w="907"/>
        <w:gridCol w:w="792"/>
        <w:gridCol w:w="1315"/>
      </w:tblGrid>
      <w:tr w:rsidR="00150E69" w:rsidRPr="00CD6CA7">
        <w:trPr>
          <w:trHeight w:hRule="exact" w:val="360"/>
        </w:trPr>
        <w:tc>
          <w:tcPr>
            <w:tcW w:w="430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spacing w:after="92" w:line="240" w:lineRule="exact"/>
              <w:ind w:left="110"/>
              <w:textAlignment w:val="baseline"/>
              <w:rPr>
                <w:rFonts w:eastAsia="Times New Roman"/>
                <w:b/>
                <w:color w:val="FFFFFF"/>
                <w:lang w:val="hr-HR"/>
              </w:rPr>
            </w:pPr>
            <w:r w:rsidRPr="00CD6CA7">
              <w:rPr>
                <w:rFonts w:eastAsia="Times New Roman"/>
                <w:b/>
                <w:color w:val="FFFFFF"/>
                <w:lang w:val="hr-HR"/>
              </w:rPr>
              <w:t>Financijska statistika Grada Zagreba</w:t>
            </w:r>
          </w:p>
        </w:tc>
        <w:tc>
          <w:tcPr>
            <w:tcW w:w="125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69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1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0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9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31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50E69" w:rsidRPr="00CD6CA7">
        <w:trPr>
          <w:trHeight w:hRule="exact" w:val="322"/>
        </w:trPr>
        <w:tc>
          <w:tcPr>
            <w:tcW w:w="4301" w:type="dxa"/>
            <w:vMerge w:val="restart"/>
            <w:tcBorders>
              <w:top w:val="none" w:sz="0" w:space="0" w:color="020000"/>
              <w:left w:val="none" w:sz="0" w:space="0" w:color="020000"/>
              <w:bottom w:val="single" w:sz="6" w:space="0" w:color="000000"/>
              <w:right w:val="none" w:sz="0" w:space="0" w:color="020000"/>
            </w:tcBorders>
            <w:vAlign w:val="bottom"/>
          </w:tcPr>
          <w:p w:rsidR="00150E69" w:rsidRPr="00CD6CA7" w:rsidRDefault="00150E69">
            <w:pPr>
              <w:spacing w:before="572" w:after="73" w:line="214" w:lineRule="exact"/>
              <w:ind w:left="110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(Mil. HRK)</w:t>
            </w:r>
          </w:p>
        </w:tc>
        <w:tc>
          <w:tcPr>
            <w:tcW w:w="1253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696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515" w:type="dxa"/>
            <w:gridSpan w:val="3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110" w:after="15" w:line="187" w:lineRule="exact"/>
              <w:ind w:right="358"/>
              <w:jc w:val="right"/>
              <w:textAlignment w:val="baseline"/>
              <w:rPr>
                <w:rFonts w:eastAsia="Times New Roman"/>
                <w:b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7"/>
                <w:lang w:val="hr-HR"/>
              </w:rPr>
              <w:t>--Fis. god. završ.. 31. pros.--</w:t>
            </w: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315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50E69" w:rsidRPr="00CD6CA7">
        <w:trPr>
          <w:trHeight w:hRule="exact" w:val="542"/>
        </w:trPr>
        <w:tc>
          <w:tcPr>
            <w:tcW w:w="4301" w:type="dxa"/>
            <w:vMerge/>
            <w:tcBorders>
              <w:top w:val="single" w:sz="6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bottom"/>
          </w:tcPr>
          <w:p w:rsidR="00150E69" w:rsidRPr="00CD6CA7" w:rsidRDefault="00150E69">
            <w:pPr>
              <w:rPr>
                <w:lang w:val="hr-HR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149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2013.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14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2014.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26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2015.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274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2016.bc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159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2017.bc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0" w:after="73" w:line="214" w:lineRule="exact"/>
              <w:ind w:right="566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2018.bc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Operativni prihodi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6.604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6.607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6.167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6.535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6.605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6.697</w:t>
            </w:r>
          </w:p>
        </w:tc>
      </w:tr>
      <w:tr w:rsidR="00150E69" w:rsidRPr="00CD6CA7">
        <w:trPr>
          <w:trHeight w:hRule="exact" w:val="312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Operativni rashodi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5.560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5.808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5.519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5.796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5.861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2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5.901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Operativna bilanca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1.044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799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648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739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744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797</w:t>
            </w:r>
          </w:p>
        </w:tc>
      </w:tr>
      <w:tr w:rsidR="00150E69" w:rsidRPr="00CD6CA7">
        <w:trPr>
          <w:trHeight w:hRule="exact" w:val="316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Operativna bilanca (% operativnih prihoda)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15,8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12,1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10,5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11,3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11,3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11,9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Kapitalni prihodi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229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66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46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100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100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Kapitalni rashodi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992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790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567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583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650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650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Bilanca nakon računa kapitala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281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75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127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188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194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247</w:t>
            </w:r>
          </w:p>
        </w:tc>
      </w:tr>
      <w:tr w:rsidR="00150E69" w:rsidRPr="00CD6CA7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Bilanca nakon računa kapitala (% ukupnih prihoda)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4,1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1,1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2,0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2,9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2,9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3,6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Otplaćeni dug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272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308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522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430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440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410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Neto proračunski zajmovi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N/</w:t>
            </w:r>
            <w:r w:rsidR="001C36EA">
              <w:rPr>
                <w:rFonts w:eastAsia="Times New Roman"/>
                <w:color w:val="000000"/>
                <w:sz w:val="17"/>
                <w:lang w:val="hr-HR"/>
              </w:rPr>
              <w:t>D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N</w:t>
            </w:r>
            <w:r w:rsidR="001C36EA">
              <w:rPr>
                <w:rFonts w:eastAsia="Times New Roman"/>
                <w:color w:val="000000"/>
                <w:sz w:val="17"/>
                <w:lang w:val="hr-HR"/>
              </w:rPr>
              <w:t>/D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1C36EA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>
              <w:rPr>
                <w:rFonts w:eastAsia="Times New Roman"/>
                <w:color w:val="000000"/>
                <w:sz w:val="17"/>
                <w:lang w:val="hr-HR"/>
              </w:rPr>
              <w:t>N/D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Saldo nakon otplate duga i daljnji zajmovi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(229)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(394)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(242)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(246)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(163)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Saldo nakon otplate duga i daljnji zajmovi (% uk. prihoda)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0,2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(3,4)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(6,3)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(3,7)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(3,7)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(2,4)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Bruto obveze po kreditima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150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190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200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200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200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Saldo nakon obveza po kreditima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161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(39)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(202)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(42)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(46)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37</w:t>
            </w:r>
          </w:p>
        </w:tc>
      </w:tr>
      <w:tr w:rsidR="006341B4" w:rsidRPr="00CD6CA7" w:rsidTr="006341B4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Rast operativnih prihoda (%)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3,5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(6,7)</w:t>
            </w:r>
          </w:p>
        </w:tc>
        <w:tc>
          <w:tcPr>
            <w:tcW w:w="90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6,0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1,1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6341B4" w:rsidRPr="00CD6CA7" w:rsidRDefault="006341B4" w:rsidP="006341B4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1,4</w:t>
            </w:r>
          </w:p>
        </w:tc>
      </w:tr>
    </w:tbl>
    <w:p w:rsidR="00150E69" w:rsidRPr="00CD6CA7" w:rsidRDefault="008846BB">
      <w:pPr>
        <w:tabs>
          <w:tab w:val="right" w:pos="10080"/>
        </w:tabs>
        <w:spacing w:before="7" w:line="187" w:lineRule="exact"/>
        <w:textAlignment w:val="baseline"/>
        <w:rPr>
          <w:rFonts w:eastAsia="Times New Roman"/>
          <w:b/>
          <w:color w:val="000000"/>
          <w:sz w:val="17"/>
          <w:lang w:val="hr-HR"/>
        </w:rPr>
      </w:pPr>
      <w:hyperlink r:id="rId12">
        <w:r w:rsidR="00150E69" w:rsidRPr="00CD6CA7">
          <w:rPr>
            <w:rFonts w:eastAsia="Times New Roman"/>
            <w:b/>
            <w:color w:val="0000FF"/>
            <w:sz w:val="17"/>
            <w:u w:val="single"/>
            <w:lang w:val="hr-HR"/>
          </w:rPr>
          <w:t>WWW.STANDARDANDPOORS.COM/RATINGSDIRECT</w:t>
        </w:r>
      </w:hyperlink>
      <w:r w:rsidR="001C36EA">
        <w:rPr>
          <w:rFonts w:eastAsia="Times New Roman"/>
          <w:b/>
          <w:color w:val="000000"/>
          <w:sz w:val="17"/>
          <w:lang w:val="hr-HR"/>
        </w:rPr>
        <w:tab/>
        <w:t>22</w:t>
      </w:r>
      <w:r w:rsidR="00150E69" w:rsidRPr="00CD6CA7">
        <w:rPr>
          <w:rFonts w:eastAsia="Times New Roman"/>
          <w:b/>
          <w:color w:val="000000"/>
          <w:sz w:val="17"/>
          <w:lang w:val="hr-HR"/>
        </w:rPr>
        <w:t xml:space="preserve">. </w:t>
      </w:r>
      <w:r w:rsidR="00235E52">
        <w:rPr>
          <w:rFonts w:eastAsia="Times New Roman"/>
          <w:b/>
          <w:color w:val="000000"/>
          <w:sz w:val="17"/>
          <w:lang w:val="hr-HR"/>
        </w:rPr>
        <w:t>prosinca</w:t>
      </w:r>
      <w:r w:rsidR="00150E69" w:rsidRPr="00CD6CA7">
        <w:rPr>
          <w:rFonts w:eastAsia="Times New Roman"/>
          <w:b/>
          <w:color w:val="000000"/>
          <w:sz w:val="17"/>
          <w:lang w:val="hr-HR"/>
        </w:rPr>
        <w:t xml:space="preserve"> 2016. </w:t>
      </w:r>
      <w:r w:rsidR="006341B4">
        <w:rPr>
          <w:rFonts w:eastAsia="Times New Roman"/>
          <w:b/>
          <w:color w:val="000000"/>
          <w:sz w:val="17"/>
          <w:lang w:val="hr-HR"/>
        </w:rPr>
        <w:t>3</w:t>
      </w:r>
    </w:p>
    <w:p w:rsidR="00150E69" w:rsidRPr="00CD6CA7" w:rsidRDefault="001C36EA">
      <w:pPr>
        <w:spacing w:before="72" w:line="182" w:lineRule="exact"/>
        <w:jc w:val="right"/>
        <w:textAlignment w:val="baseline"/>
        <w:rPr>
          <w:rFonts w:eastAsia="Times New Roman"/>
          <w:color w:val="B2AEB4"/>
          <w:sz w:val="17"/>
          <w:lang w:val="hr-HR"/>
        </w:rPr>
      </w:pPr>
      <w:r>
        <w:rPr>
          <w:rFonts w:eastAsia="Times New Roman"/>
          <w:color w:val="B2AEB4"/>
          <w:sz w:val="17"/>
          <w:lang w:val="hr-HR"/>
        </w:rPr>
        <w:t>1778053</w:t>
      </w:r>
      <w:r w:rsidR="00150E69" w:rsidRPr="00CD6CA7">
        <w:rPr>
          <w:rFonts w:eastAsia="Times New Roman"/>
          <w:color w:val="B2AEB4"/>
          <w:sz w:val="17"/>
          <w:lang w:val="hr-HR"/>
        </w:rPr>
        <w:t xml:space="preserve"> | </w:t>
      </w:r>
      <w:r>
        <w:rPr>
          <w:rFonts w:eastAsia="Times New Roman"/>
          <w:color w:val="B2AEB4"/>
          <w:sz w:val="17"/>
          <w:lang w:val="hr-HR"/>
        </w:rPr>
        <w:t>300303550</w:t>
      </w:r>
    </w:p>
    <w:p w:rsidR="00150E69" w:rsidRPr="00CD6CA7" w:rsidRDefault="00150E69">
      <w:pPr>
        <w:rPr>
          <w:lang w:val="hr-HR"/>
        </w:rPr>
        <w:sectPr w:rsidR="00150E69" w:rsidRPr="00CD6CA7">
          <w:pgSz w:w="12240" w:h="15840"/>
          <w:pgMar w:top="720" w:right="1063" w:bottom="260" w:left="1077" w:header="720" w:footer="720" w:gutter="0"/>
          <w:cols w:space="720"/>
        </w:sectPr>
      </w:pPr>
    </w:p>
    <w:p w:rsidR="00150E69" w:rsidRPr="00CD6CA7" w:rsidRDefault="00020FF6">
      <w:pPr>
        <w:spacing w:before="21" w:line="230" w:lineRule="exact"/>
        <w:jc w:val="right"/>
        <w:textAlignment w:val="baseline"/>
        <w:rPr>
          <w:rFonts w:eastAsia="Times New Roman"/>
          <w:i/>
          <w:color w:val="000000"/>
          <w:spacing w:val="-5"/>
          <w:sz w:val="21"/>
          <w:lang w:val="hr-HR"/>
        </w:rPr>
      </w:pP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lastRenderedPageBreak/>
        <w:t xml:space="preserve">Ažurirano istraživanje: </w:t>
      </w:r>
      <w:r>
        <w:rPr>
          <w:rFonts w:eastAsia="Times New Roman"/>
          <w:i/>
          <w:color w:val="000000"/>
          <w:spacing w:val="-5"/>
          <w:sz w:val="21"/>
          <w:lang w:val="hr-HR"/>
        </w:rPr>
        <w:t>Izgledi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Zagreba, glavnog grada Hrvatske,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promijenjeni u stabilne nakon slične izmjene rejtinga Hrvatska; P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>otvrđen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rejting na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'BB'</w:t>
      </w:r>
    </w:p>
    <w:p w:rsidR="00150E69" w:rsidRPr="00CD6CA7" w:rsidRDefault="00150E69">
      <w:pPr>
        <w:spacing w:before="479" w:after="62" w:line="187" w:lineRule="exact"/>
        <w:textAlignment w:val="baseline"/>
        <w:rPr>
          <w:rFonts w:eastAsia="Times New Roman"/>
          <w:b/>
          <w:color w:val="000000"/>
          <w:spacing w:val="13"/>
          <w:sz w:val="17"/>
          <w:lang w:val="hr-HR"/>
        </w:rPr>
      </w:pPr>
      <w:r w:rsidRPr="00CD6CA7">
        <w:rPr>
          <w:rFonts w:eastAsia="Times New Roman"/>
          <w:b/>
          <w:color w:val="000000"/>
          <w:spacing w:val="13"/>
          <w:sz w:val="17"/>
          <w:lang w:val="hr-HR"/>
        </w:rPr>
        <w:t>Tablica 1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1"/>
        <w:gridCol w:w="489"/>
        <w:gridCol w:w="764"/>
        <w:gridCol w:w="696"/>
        <w:gridCol w:w="700"/>
        <w:gridCol w:w="116"/>
        <w:gridCol w:w="796"/>
        <w:gridCol w:w="111"/>
        <w:gridCol w:w="797"/>
        <w:gridCol w:w="1315"/>
      </w:tblGrid>
      <w:tr w:rsidR="00150E69" w:rsidRPr="00CD6CA7">
        <w:trPr>
          <w:trHeight w:hRule="exact" w:val="360"/>
        </w:trPr>
        <w:tc>
          <w:tcPr>
            <w:tcW w:w="4790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spacing w:after="86" w:line="240" w:lineRule="exact"/>
              <w:ind w:left="106"/>
              <w:textAlignment w:val="baseline"/>
              <w:rPr>
                <w:rFonts w:eastAsia="Times New Roman"/>
                <w:b/>
                <w:color w:val="FFFFFF"/>
                <w:lang w:val="hr-HR"/>
              </w:rPr>
            </w:pPr>
            <w:r w:rsidRPr="00CD6CA7">
              <w:rPr>
                <w:rFonts w:eastAsia="Times New Roman"/>
                <w:b/>
                <w:color w:val="FFFFFF"/>
                <w:lang w:val="hr-HR"/>
              </w:rPr>
              <w:t>Financijska statistika Grada Zagreba (nast.)</w:t>
            </w:r>
          </w:p>
        </w:tc>
        <w:tc>
          <w:tcPr>
            <w:tcW w:w="76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69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0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08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31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E32335" w:fill="E32335"/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50E69" w:rsidRPr="00CD6CA7">
        <w:trPr>
          <w:trHeight w:hRule="exact" w:val="322"/>
        </w:trPr>
        <w:tc>
          <w:tcPr>
            <w:tcW w:w="4790" w:type="dxa"/>
            <w:gridSpan w:val="2"/>
            <w:vMerge w:val="restart"/>
            <w:tcBorders>
              <w:top w:val="none" w:sz="0" w:space="0" w:color="020000"/>
              <w:left w:val="none" w:sz="0" w:space="0" w:color="020000"/>
              <w:bottom w:val="single" w:sz="6" w:space="0" w:color="000000"/>
              <w:right w:val="none" w:sz="0" w:space="0" w:color="020000"/>
            </w:tcBorders>
            <w:vAlign w:val="bottom"/>
          </w:tcPr>
          <w:p w:rsidR="00150E69" w:rsidRPr="00CD6CA7" w:rsidRDefault="00150E69">
            <w:pPr>
              <w:spacing w:before="573" w:after="68" w:line="213" w:lineRule="exact"/>
              <w:ind w:left="106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(Mil. HRK)</w:t>
            </w:r>
          </w:p>
        </w:tc>
        <w:tc>
          <w:tcPr>
            <w:tcW w:w="764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696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520" w:type="dxa"/>
            <w:gridSpan w:val="5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111" w:after="23" w:line="187" w:lineRule="exact"/>
              <w:ind w:right="332"/>
              <w:jc w:val="right"/>
              <w:textAlignment w:val="baseline"/>
              <w:rPr>
                <w:rFonts w:eastAsia="Times New Roman"/>
                <w:b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7"/>
                <w:lang w:val="hr-HR"/>
              </w:rPr>
              <w:t>-- Fis. god. završ.. 31. pros.--</w:t>
            </w: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310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50E69" w:rsidRPr="00CD6CA7">
        <w:trPr>
          <w:trHeight w:hRule="exact" w:val="542"/>
        </w:trPr>
        <w:tc>
          <w:tcPr>
            <w:tcW w:w="4790" w:type="dxa"/>
            <w:gridSpan w:val="2"/>
            <w:vMerge/>
            <w:tcBorders>
              <w:top w:val="single" w:sz="6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bottom"/>
          </w:tcPr>
          <w:p w:rsidR="00150E69" w:rsidRPr="00CD6CA7" w:rsidRDefault="00150E69">
            <w:pPr>
              <w:rPr>
                <w:lang w:val="hr-HR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149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2013.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14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2014.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152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2015.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153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2016.bc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154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2017.bc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1" w:after="68" w:line="213" w:lineRule="exact"/>
              <w:ind w:right="557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2018.bc</w:t>
            </w:r>
          </w:p>
        </w:tc>
      </w:tr>
      <w:tr w:rsidR="001C36EA" w:rsidRPr="00CD6CA7" w:rsidTr="00897A82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Rast operativnih rashoda (%)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0,3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4,5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(5,0)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5,0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1,1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0,7</w:t>
            </w:r>
          </w:p>
        </w:tc>
      </w:tr>
      <w:tr w:rsidR="001C36EA" w:rsidRPr="00CD6CA7" w:rsidTr="00897A82">
        <w:trPr>
          <w:trHeight w:hRule="exact" w:val="317"/>
        </w:trPr>
        <w:tc>
          <w:tcPr>
            <w:tcW w:w="430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left="110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Promjenjivi prihodi (% operativnih prihoda)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36,9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35,1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26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36,2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27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35,7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15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35,6</w:t>
            </w:r>
          </w:p>
        </w:tc>
        <w:tc>
          <w:tcPr>
            <w:tcW w:w="131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C36EA" w:rsidRPr="00CD6CA7" w:rsidRDefault="001C36EA" w:rsidP="00897A82">
            <w:pPr>
              <w:spacing w:before="91" w:after="37" w:line="188" w:lineRule="exact"/>
              <w:ind w:right="566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35,3</w:t>
            </w:r>
          </w:p>
        </w:tc>
      </w:tr>
      <w:tr w:rsidR="00150E69" w:rsidRPr="00CD6CA7">
        <w:trPr>
          <w:trHeight w:hRule="exact" w:val="312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18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Kapitalni rashodi (% ukupnih rashoda)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504"/>
              </w:tabs>
              <w:spacing w:before="92" w:after="18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15,1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18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12,0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360"/>
              </w:tabs>
              <w:spacing w:before="92" w:after="18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9,3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18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9,1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18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10,0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18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9,9</w:t>
            </w:r>
          </w:p>
        </w:tc>
      </w:tr>
      <w:tr w:rsidR="00150E69" w:rsidRPr="00CD6CA7">
        <w:trPr>
          <w:trHeight w:hRule="exact" w:val="317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Izravni dug (nepodmiren na kraju godine)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2.801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2.445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152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2.798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2.568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2.328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7" w:after="18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2.118</w:t>
            </w:r>
          </w:p>
        </w:tc>
      </w:tr>
      <w:tr w:rsidR="00150E69" w:rsidRPr="00CD6CA7">
        <w:trPr>
          <w:trHeight w:hRule="exact" w:val="317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Izravni dug (% operativnih prihoda)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504"/>
              </w:tabs>
              <w:spacing w:before="96" w:after="18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42,4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37,0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360"/>
              </w:tabs>
              <w:spacing w:before="96" w:after="18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45,4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39,3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35,3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18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31,6</w:t>
            </w:r>
          </w:p>
        </w:tc>
      </w:tr>
      <w:tr w:rsidR="00150E69" w:rsidRPr="00CD6CA7">
        <w:trPr>
          <w:trHeight w:hRule="exact" w:val="317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Dug servisiran iz poreza (% konsolidiranih operativnih prihoda)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504"/>
              </w:tabs>
              <w:spacing w:before="96" w:after="33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85,0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66,4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360"/>
              </w:tabs>
              <w:spacing w:before="96" w:after="33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83,3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75,2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70,3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3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69,1</w:t>
            </w:r>
          </w:p>
        </w:tc>
      </w:tr>
      <w:tr w:rsidR="00150E69" w:rsidRPr="00CD6CA7">
        <w:trPr>
          <w:trHeight w:hRule="exact" w:val="317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Kamata (% operativnih prihoda)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504"/>
              </w:tabs>
              <w:spacing w:before="96" w:after="32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0,8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1,9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360"/>
              </w:tabs>
              <w:spacing w:before="96" w:after="32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1,9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1,7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1,7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32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1,7</w:t>
            </w:r>
          </w:p>
        </w:tc>
      </w:tr>
      <w:tr w:rsidR="00150E69" w:rsidRPr="00CD6CA7">
        <w:trPr>
          <w:trHeight w:hRule="exact" w:val="344"/>
        </w:trPr>
        <w:tc>
          <w:tcPr>
            <w:tcW w:w="4790" w:type="dxa"/>
            <w:gridSpan w:val="2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52" w:line="188" w:lineRule="exact"/>
              <w:ind w:left="106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Servisiranje duga (% operativnih prihoda)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504"/>
              </w:tabs>
              <w:spacing w:before="91" w:after="52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4,9</w:t>
            </w:r>
          </w:p>
        </w:tc>
        <w:tc>
          <w:tcPr>
            <w:tcW w:w="696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52" w:line="188" w:lineRule="exact"/>
              <w:ind w:right="14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6,6</w:t>
            </w:r>
          </w:p>
        </w:tc>
        <w:tc>
          <w:tcPr>
            <w:tcW w:w="700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tabs>
                <w:tab w:val="decimal" w:pos="360"/>
              </w:tabs>
              <w:spacing w:before="91" w:after="52" w:line="188" w:lineRule="exac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10,4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52" w:line="188" w:lineRule="exact"/>
              <w:ind w:right="153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8,3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52" w:line="188" w:lineRule="exact"/>
              <w:ind w:right="1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8,4</w:t>
            </w:r>
          </w:p>
        </w:tc>
        <w:tc>
          <w:tcPr>
            <w:tcW w:w="1310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52" w:line="188" w:lineRule="exact"/>
              <w:ind w:right="55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7,8</w:t>
            </w:r>
          </w:p>
        </w:tc>
      </w:tr>
    </w:tbl>
    <w:p w:rsidR="00150E69" w:rsidRPr="00CD6CA7" w:rsidRDefault="00150E69">
      <w:pPr>
        <w:spacing w:after="52" w:line="20" w:lineRule="exact"/>
        <w:rPr>
          <w:lang w:val="hr-HR"/>
        </w:rPr>
      </w:pPr>
    </w:p>
    <w:p w:rsidR="00150E69" w:rsidRPr="00CD6CA7" w:rsidRDefault="008846BB">
      <w:pPr>
        <w:spacing w:before="113" w:line="192" w:lineRule="exact"/>
        <w:ind w:right="72"/>
        <w:textAlignment w:val="baseline"/>
        <w:rPr>
          <w:rFonts w:eastAsia="Times New Roman"/>
          <w:color w:val="000000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4949825</wp:posOffset>
                </wp:positionV>
                <wp:extent cx="6414135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389.75pt" to="558.9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05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TjBTp&#10;QKOtUBxNQ2t64wqIqNTOhuLoWb2YrabfHVK6aok68Ejx9WIgLQsZyZuUsHEGLtj3nzWDGHL0Ovbp&#10;3NguQEIH0DnKcbnLwc8eUTic51meTWcY0cGXkGJINNb5T1x3KBgllsA5ApPT1vlAhBRDSLhH6Y2Q&#10;MqotFeoBfDpLY4LTUrDgDGHOHvaVtOhEwrzEL1YFnscwq4+KRbCWE7a+2Z4IebXhcqkCHpQCdG7W&#10;dSB+PKVP68V6kY/yyXw9ytO6Hn3cVPlovsk+zOppXVV19jNQy/KiFYxxFdgNw5nlfyf+7Zlcx+o+&#10;nvc2JG/RY7+A7PCPpKOWQb7rIOw1u+zsoDHMYwy+vZ0w8I97sB9f+OoXAAAA//8DAFBLAwQUAAYA&#10;CAAAACEAreaeK9wAAAAMAQAADwAAAGRycy9kb3ducmV2LnhtbEyPQUvEMBSE74L/ITzBm5tEqNHa&#10;dBGh4sWDu+I528S2mLyUJNtUf71ZEPQ48z7mzTTb1VmymBAnjxL4hgEx2Hs94SDhbd9d3QKJSaFW&#10;1qOR8GUibNvzs0bV2md8NcsuDaSEYKyVhDGluaY09qNxKm78bLDcPnxwKhUZBqqDyiXcWXrN2A11&#10;asLyYVSzeRxN/7k7OgnI07vNOeUlfFdPFa+6Z/bSSXl5sT7cA0lmTX8wnOqX6tCWTgd/RB2JLZoJ&#10;UVAJQtxVQE4E56KsOfxatG3o/xHtDwAAAP//AwBQSwECLQAUAAYACAAAACEAtoM4kv4AAADhAQAA&#10;EwAAAAAAAAAAAAAAAAAAAAAAW0NvbnRlbnRfVHlwZXNdLnhtbFBLAQItABQABgAIAAAAIQA4/SH/&#10;1gAAAJQBAAALAAAAAAAAAAAAAAAAAC8BAABfcmVscy8ucmVsc1BLAQItABQABgAIAAAAIQA9g005&#10;EgIAACkEAAAOAAAAAAAAAAAAAAAAAC4CAABkcnMvZTJvRG9jLnhtbFBLAQItABQABgAIAAAAIQCt&#10;5p4r3AAAAAwBAAAPAAAAAAAAAAAAAAAAAGwEAABkcnMvZG93bnJldi54bWxQSwUGAAAAAAQABADz&#10;AAAAdQUAAAAA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Gore navedeni podaci i omjeri rezultat su izračuna </w:t>
      </w:r>
      <w:r w:rsidR="00E22E98">
        <w:rPr>
          <w:rFonts w:eastAsia="Times New Roman"/>
          <w:color w:val="000000"/>
          <w:sz w:val="17"/>
          <w:lang w:val="hr-HR"/>
        </w:rPr>
        <w:t xml:space="preserve">agencije 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S&amp;P Global Ratings, </w:t>
      </w:r>
      <w:r w:rsidR="00E22E98">
        <w:rPr>
          <w:rFonts w:eastAsia="Times New Roman"/>
          <w:color w:val="000000"/>
          <w:sz w:val="17"/>
          <w:lang w:val="hr-HR"/>
        </w:rPr>
        <w:t>a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 oslanjaju </w:t>
      </w:r>
      <w:r w:rsidR="00E22E98" w:rsidRPr="00CD6CA7">
        <w:rPr>
          <w:rFonts w:eastAsia="Times New Roman"/>
          <w:color w:val="000000"/>
          <w:sz w:val="17"/>
          <w:lang w:val="hr-HR"/>
        </w:rPr>
        <w:t xml:space="preserve">se 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na nacionalne i međunarodne izvore, i odražavaju neovisno mišljenje </w:t>
      </w:r>
      <w:r w:rsidR="00E22E98">
        <w:rPr>
          <w:rFonts w:eastAsia="Times New Roman"/>
          <w:color w:val="000000"/>
          <w:sz w:val="17"/>
          <w:lang w:val="hr-HR"/>
        </w:rPr>
        <w:t xml:space="preserve">agencije 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S&amp;P Global Ratings o pravovremenosti, pokrivenosti, točnosti, vjerodostojnosti i upotrebljivosti dostupnih informacija. Glavni izvori su financijska izvješća i proračuni koje je dostavio izdavatelj. </w:t>
      </w:r>
      <w:r w:rsidR="00BC4B3A" w:rsidRPr="00CB59AE">
        <w:rPr>
          <w:rFonts w:eastAsia="Times New Roman"/>
          <w:color w:val="000000"/>
          <w:sz w:val="17"/>
          <w:lang w:val="hr-HR"/>
        </w:rPr>
        <w:t>Očekivani</w:t>
      </w:r>
      <w:r w:rsidR="00E22E98" w:rsidRPr="00CB59AE">
        <w:rPr>
          <w:rFonts w:eastAsia="Times New Roman"/>
          <w:color w:val="000000"/>
          <w:sz w:val="17"/>
          <w:lang w:val="hr-HR"/>
        </w:rPr>
        <w:t xml:space="preserve"> </w:t>
      </w:r>
      <w:r w:rsidR="00CB59AE">
        <w:rPr>
          <w:rFonts w:eastAsia="Times New Roman"/>
          <w:color w:val="000000"/>
          <w:sz w:val="17"/>
          <w:lang w:val="hr-HR"/>
        </w:rPr>
        <w:t>scenarij</w:t>
      </w:r>
      <w:r w:rsidR="00150E69" w:rsidRPr="00CB59AE">
        <w:rPr>
          <w:rFonts w:eastAsia="Times New Roman"/>
          <w:color w:val="000000"/>
          <w:sz w:val="17"/>
          <w:lang w:val="hr-HR"/>
        </w:rPr>
        <w:t xml:space="preserve"> </w:t>
      </w:r>
      <w:r w:rsidR="00E22E98" w:rsidRPr="00CB59AE">
        <w:rPr>
          <w:rFonts w:eastAsia="Times New Roman"/>
          <w:color w:val="000000"/>
          <w:sz w:val="17"/>
          <w:lang w:val="hr-HR"/>
        </w:rPr>
        <w:t>(bc) odražava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 očekivanja</w:t>
      </w:r>
      <w:r w:rsidR="00E22E98">
        <w:rPr>
          <w:rFonts w:eastAsia="Times New Roman"/>
          <w:color w:val="000000"/>
          <w:sz w:val="17"/>
          <w:lang w:val="hr-HR"/>
        </w:rPr>
        <w:t xml:space="preserve"> agencije S&amp;P Global Ratings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 o najvjerojatnijem scenariju. </w:t>
      </w:r>
      <w:r w:rsidR="001C36EA">
        <w:rPr>
          <w:rFonts w:eastAsia="Times New Roman"/>
          <w:color w:val="000000"/>
          <w:sz w:val="17"/>
          <w:lang w:val="hr-HR"/>
        </w:rPr>
        <w:t>HRK – hrvatska kuna. N/D – nije dostupno.</w:t>
      </w:r>
    </w:p>
    <w:p w:rsidR="00150E69" w:rsidRPr="00CD6CA7" w:rsidRDefault="00150E69">
      <w:pPr>
        <w:spacing w:before="436" w:after="19" w:line="187" w:lineRule="exact"/>
        <w:textAlignment w:val="baseline"/>
        <w:rPr>
          <w:rFonts w:eastAsia="Times New Roman"/>
          <w:b/>
          <w:color w:val="000000"/>
          <w:spacing w:val="14"/>
          <w:sz w:val="17"/>
          <w:lang w:val="hr-HR"/>
        </w:rPr>
      </w:pPr>
      <w:r w:rsidRPr="00CD6CA7">
        <w:rPr>
          <w:rFonts w:eastAsia="Times New Roman"/>
          <w:b/>
          <w:color w:val="000000"/>
          <w:spacing w:val="14"/>
          <w:sz w:val="17"/>
          <w:lang w:val="hr-HR"/>
        </w:rPr>
        <w:t>Tablica 2</w:t>
      </w:r>
      <w:r w:rsidR="006341B4">
        <w:rPr>
          <w:rFonts w:eastAsia="Times New Roman"/>
          <w:b/>
          <w:color w:val="000000"/>
          <w:spacing w:val="14"/>
          <w:sz w:val="17"/>
          <w:lang w:val="hr-HR"/>
        </w:rPr>
        <w:t>.</w:t>
      </w:r>
    </w:p>
    <w:p w:rsidR="00150E69" w:rsidRPr="00CD6CA7" w:rsidRDefault="00150E69">
      <w:pPr>
        <w:shd w:val="solid" w:color="E32335" w:fill="E32335"/>
        <w:spacing w:after="148" w:line="240" w:lineRule="exact"/>
        <w:textAlignment w:val="baseline"/>
        <w:rPr>
          <w:rFonts w:eastAsia="Times New Roman"/>
          <w:b/>
          <w:color w:val="FFFFFF"/>
          <w:lang w:val="hr-HR"/>
        </w:rPr>
      </w:pPr>
      <w:r w:rsidRPr="00CD6CA7">
        <w:rPr>
          <w:rFonts w:eastAsia="Times New Roman"/>
          <w:b/>
          <w:color w:val="FFFFFF"/>
          <w:lang w:val="hr-HR"/>
        </w:rPr>
        <w:t>Ekonomska statistika Grada Zagreba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6"/>
        <w:gridCol w:w="1565"/>
        <w:gridCol w:w="720"/>
        <w:gridCol w:w="1042"/>
        <w:gridCol w:w="998"/>
        <w:gridCol w:w="792"/>
        <w:gridCol w:w="977"/>
      </w:tblGrid>
      <w:tr w:rsidR="00150E69" w:rsidRPr="00CD6CA7">
        <w:trPr>
          <w:trHeight w:hRule="exact" w:val="260"/>
        </w:trPr>
        <w:tc>
          <w:tcPr>
            <w:tcW w:w="4006" w:type="dxa"/>
            <w:vMerge w:val="restart"/>
            <w:tcBorders>
              <w:top w:val="none" w:sz="0" w:space="0" w:color="020000"/>
              <w:left w:val="none" w:sz="0" w:space="0" w:color="020000"/>
              <w:bottom w:val="single" w:sz="6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565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20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54" w:after="9" w:line="18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7"/>
                <w:lang w:val="hr-HR"/>
              </w:rPr>
              <w:t>-- Fis. god. završ.. 31. pros.--</w:t>
            </w: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92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 w:rsidRPr="00CD6CA7"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150E69" w:rsidRPr="00CD6CA7">
        <w:trPr>
          <w:trHeight w:hRule="exact" w:val="542"/>
        </w:trPr>
        <w:tc>
          <w:tcPr>
            <w:tcW w:w="4006" w:type="dxa"/>
            <w:vMerge/>
            <w:tcBorders>
              <w:top w:val="single" w:sz="6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150E69" w:rsidRPr="00CD6CA7" w:rsidRDefault="00150E69">
            <w:pPr>
              <w:rPr>
                <w:lang w:val="hr-HR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187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2013.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10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2014.</w:t>
            </w:r>
          </w:p>
        </w:tc>
        <w:tc>
          <w:tcPr>
            <w:tcW w:w="104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13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2015.</w:t>
            </w:r>
          </w:p>
        </w:tc>
        <w:tc>
          <w:tcPr>
            <w:tcW w:w="998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254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2016.bc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149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2017.bc</w:t>
            </w:r>
          </w:p>
        </w:tc>
        <w:tc>
          <w:tcPr>
            <w:tcW w:w="97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256" w:after="68" w:line="213" w:lineRule="exact"/>
              <w:ind w:right="228"/>
              <w:jc w:val="right"/>
              <w:textAlignment w:val="baseline"/>
              <w:rPr>
                <w:rFonts w:eastAsia="Times New Roman"/>
                <w:b/>
                <w:color w:val="000000"/>
                <w:sz w:val="19"/>
                <w:lang w:val="hr-HR"/>
              </w:rPr>
            </w:pPr>
            <w:r w:rsidRPr="00CD6CA7">
              <w:rPr>
                <w:rFonts w:eastAsia="Times New Roman"/>
                <w:b/>
                <w:color w:val="000000"/>
                <w:sz w:val="19"/>
                <w:lang w:val="hr-HR"/>
              </w:rPr>
              <w:t>2018.bc</w:t>
            </w:r>
          </w:p>
        </w:tc>
      </w:tr>
      <w:tr w:rsidR="00150E69" w:rsidRPr="00CD6CA7">
        <w:trPr>
          <w:trHeight w:hRule="exact" w:val="317"/>
        </w:trPr>
        <w:tc>
          <w:tcPr>
            <w:tcW w:w="400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left="113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Stanovništvo</w:t>
            </w:r>
          </w:p>
        </w:tc>
        <w:tc>
          <w:tcPr>
            <w:tcW w:w="15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18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793 930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10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795 500</w:t>
            </w:r>
          </w:p>
        </w:tc>
        <w:tc>
          <w:tcPr>
            <w:tcW w:w="104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13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796 000</w:t>
            </w:r>
          </w:p>
        </w:tc>
        <w:tc>
          <w:tcPr>
            <w:tcW w:w="998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797 000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798 000</w:t>
            </w:r>
          </w:p>
        </w:tc>
        <w:tc>
          <w:tcPr>
            <w:tcW w:w="97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6" w:after="28" w:line="188" w:lineRule="exact"/>
              <w:ind w:right="22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800 000</w:t>
            </w:r>
          </w:p>
        </w:tc>
      </w:tr>
      <w:tr w:rsidR="00150E69" w:rsidRPr="00CD6CA7">
        <w:trPr>
          <w:trHeight w:hRule="exact" w:val="317"/>
        </w:trPr>
        <w:tc>
          <w:tcPr>
            <w:tcW w:w="400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left="113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Rast stanovništva (%)</w:t>
            </w:r>
          </w:p>
        </w:tc>
        <w:tc>
          <w:tcPr>
            <w:tcW w:w="15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8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0,1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0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0,2</w:t>
            </w:r>
          </w:p>
        </w:tc>
        <w:tc>
          <w:tcPr>
            <w:tcW w:w="104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3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0,1</w:t>
            </w:r>
          </w:p>
        </w:tc>
        <w:tc>
          <w:tcPr>
            <w:tcW w:w="998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0,1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0,1</w:t>
            </w:r>
          </w:p>
        </w:tc>
        <w:tc>
          <w:tcPr>
            <w:tcW w:w="97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2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0,3</w:t>
            </w:r>
          </w:p>
        </w:tc>
      </w:tr>
      <w:tr w:rsidR="00150E69" w:rsidRPr="00CD6CA7">
        <w:trPr>
          <w:trHeight w:hRule="exact" w:val="316"/>
        </w:trPr>
        <w:tc>
          <w:tcPr>
            <w:tcW w:w="4006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left="113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BDP po stanovniku (lokalna valuta) (jedinst. jedinice)</w:t>
            </w:r>
          </w:p>
        </w:tc>
        <w:tc>
          <w:tcPr>
            <w:tcW w:w="15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8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142,220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0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140,360</w:t>
            </w:r>
          </w:p>
        </w:tc>
        <w:tc>
          <w:tcPr>
            <w:tcW w:w="104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3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142,890</w:t>
            </w:r>
          </w:p>
        </w:tc>
        <w:tc>
          <w:tcPr>
            <w:tcW w:w="998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146,460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150,560</w:t>
            </w:r>
          </w:p>
        </w:tc>
        <w:tc>
          <w:tcPr>
            <w:tcW w:w="97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1" w:after="33" w:line="188" w:lineRule="exact"/>
              <w:ind w:right="22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155,380</w:t>
            </w:r>
          </w:p>
        </w:tc>
      </w:tr>
      <w:tr w:rsidR="00150E69" w:rsidRPr="00CD6CA7">
        <w:trPr>
          <w:trHeight w:hRule="exact" w:val="340"/>
        </w:trPr>
        <w:tc>
          <w:tcPr>
            <w:tcW w:w="4006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left="113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Stopa nezaposlenosti (%)</w:t>
            </w:r>
          </w:p>
        </w:tc>
        <w:tc>
          <w:tcPr>
            <w:tcW w:w="1565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187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9,5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10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9,5</w:t>
            </w:r>
          </w:p>
        </w:tc>
        <w:tc>
          <w:tcPr>
            <w:tcW w:w="1042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13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13,7</w:t>
            </w:r>
          </w:p>
        </w:tc>
        <w:tc>
          <w:tcPr>
            <w:tcW w:w="998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254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12,5</w:t>
            </w:r>
          </w:p>
        </w:tc>
        <w:tc>
          <w:tcPr>
            <w:tcW w:w="792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149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12,0</w:t>
            </w:r>
          </w:p>
        </w:tc>
        <w:tc>
          <w:tcPr>
            <w:tcW w:w="977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150E69" w:rsidRPr="00CD6CA7" w:rsidRDefault="00150E69">
            <w:pPr>
              <w:spacing w:before="92" w:after="47" w:line="188" w:lineRule="exact"/>
              <w:ind w:right="228"/>
              <w:jc w:val="right"/>
              <w:textAlignment w:val="baseline"/>
              <w:rPr>
                <w:rFonts w:eastAsia="Times New Roman"/>
                <w:color w:val="000000"/>
                <w:sz w:val="17"/>
                <w:lang w:val="hr-HR"/>
              </w:rPr>
            </w:pPr>
            <w:r w:rsidRPr="00CD6CA7">
              <w:rPr>
                <w:rFonts w:eastAsia="Times New Roman"/>
                <w:color w:val="000000"/>
                <w:sz w:val="17"/>
                <w:lang w:val="hr-HR"/>
              </w:rPr>
              <w:t>12,0</w:t>
            </w:r>
          </w:p>
        </w:tc>
      </w:tr>
    </w:tbl>
    <w:p w:rsidR="00150E69" w:rsidRPr="00CD6CA7" w:rsidRDefault="00150E69">
      <w:pPr>
        <w:spacing w:after="52" w:line="20" w:lineRule="exact"/>
        <w:rPr>
          <w:lang w:val="hr-HR"/>
        </w:rPr>
      </w:pPr>
    </w:p>
    <w:p w:rsidR="00150E69" w:rsidRPr="00CD6CA7" w:rsidRDefault="008846BB">
      <w:pPr>
        <w:spacing w:before="118" w:line="192" w:lineRule="exact"/>
        <w:ind w:right="72"/>
        <w:textAlignment w:val="baseline"/>
        <w:rPr>
          <w:rFonts w:eastAsia="Times New Roman"/>
          <w:color w:val="000000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7720330</wp:posOffset>
                </wp:positionV>
                <wp:extent cx="641413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607.9pt" to="558.9pt,6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SwEQ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TjBTp&#10;QKOtUBzloTW9cQVEVGpnQ3H0rF7MVtPvDildtUQdeKT4ejGQloWM5E1K2DgDF+z7z5pBDDl6Hft0&#10;bmwXIKED6BzluNzl4GePKBzO8yzPpjOM6OBLSDEkGuv8J647FIwSS+Acgclp63wgQoohJNyj9EZI&#10;GdWWCvUAPp2lMcFpKVhwhjBnD/tKWnQiYV7iF6sCz2OY1UfFIljLCVvfbE+EvNpwuVQBD0oBOjfr&#10;OhA/ntKn9WK9yEf5ZL4e5Wldjz5uqnw032QfZvW0rqo6+xmoZXnRCsa4CuyG4czyvxP/9kyuY3Uf&#10;z3sbkrfosV9AdvhH0lHLIN91EPaaXXZ20BjmMQbf3k4Y+Mc92I8vfPULAAD//wMAUEsDBBQABgAI&#10;AAAAIQA+eZWC2wAAAA4BAAAPAAAAZHJzL2Rvd25yZXYueG1sTE/BSsQwFLwL/kN4gjc3yUKt1KaL&#10;CBUvHlwXz9kmtsXmpSTZpvr1vj2I3mbeDPNm6t3qJrbYEEePCuRGALPYeTNir+Dw1t7cAYtJo9GT&#10;R6vgy0bYNZcXta6Mz/hql33qGYVgrLSCIaW54jx2g3U6bvxskbQPH5xOREPPTdCZwt3Et0LccqdH&#10;pA+Dnu3jYLvP/ckpQJnep5xTXsJ38VTIon0WL61S11frwz2wZNf0Z4ZzfaoODXU6+hOayCbioizJ&#10;SmArCxpxtkhZEjr+3nhT8/8zmh8AAAD//wMAUEsBAi0AFAAGAAgAAAAhALaDOJL+AAAA4QEAABMA&#10;AAAAAAAAAAAAAAAAAAAAAFtDb250ZW50X1R5cGVzXS54bWxQSwECLQAUAAYACAAAACEAOP0h/9YA&#10;AACUAQAACwAAAAAAAAAAAAAAAAAvAQAAX3JlbHMvLnJlbHNQSwECLQAUAAYACAAAACEAUDkUsBEC&#10;AAApBAAADgAAAAAAAAAAAAAAAAAuAgAAZHJzL2Uyb0RvYy54bWxQSwECLQAUAAYACAAAACEAPnmV&#10;gtsAAAAOAQAADwAAAAAAAAAAAAAAAABrBAAAZHJzL2Rvd25yZXYueG1sUEsFBgAAAAAEAAQA8wAA&#10;AHMFAAAAAA==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 Gore navedeni podaci i omjeri rezultat su izračuna </w:t>
      </w:r>
      <w:r w:rsidR="006D5D97">
        <w:rPr>
          <w:rFonts w:eastAsia="Times New Roman"/>
          <w:color w:val="000000"/>
          <w:sz w:val="17"/>
          <w:lang w:val="hr-HR"/>
        </w:rPr>
        <w:t>agencije S&amp;P Global Ratings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, koji se oslanjaju na nacionalne i međunarodne izvore, i odražavaju neovisno mišljenje </w:t>
      </w:r>
      <w:r w:rsidR="006D5D97">
        <w:rPr>
          <w:rFonts w:eastAsia="Times New Roman"/>
          <w:color w:val="000000"/>
          <w:sz w:val="17"/>
          <w:lang w:val="hr-HR"/>
        </w:rPr>
        <w:t>agencije S&amp;P Global Ratings</w:t>
      </w:r>
      <w:r w:rsidR="00150E69" w:rsidRPr="00CD6CA7">
        <w:rPr>
          <w:rFonts w:eastAsia="Times New Roman"/>
          <w:color w:val="000000"/>
          <w:sz w:val="17"/>
          <w:lang w:val="hr-HR"/>
        </w:rPr>
        <w:t xml:space="preserve"> o pravovremenosti, pokrivenosti, točnosti, vjerodostojnosti i upotrebljivosti dostupnih informacija. Izvori obično uključuju nacionalne statističke</w:t>
      </w:r>
      <w:r w:rsidR="009E604E">
        <w:rPr>
          <w:rFonts w:eastAsia="Times New Roman"/>
          <w:color w:val="000000"/>
          <w:sz w:val="17"/>
          <w:lang w:val="hr-HR"/>
        </w:rPr>
        <w:t xml:space="preserve"> urede, Eurostat i Experian Limited. HRK – hrvatska kuna</w:t>
      </w:r>
    </w:p>
    <w:p w:rsidR="00150E69" w:rsidRPr="00CD6CA7" w:rsidRDefault="008846BB">
      <w:pPr>
        <w:tabs>
          <w:tab w:val="right" w:pos="10080"/>
        </w:tabs>
        <w:spacing w:before="1962" w:line="187" w:lineRule="exact"/>
        <w:textAlignment w:val="baseline"/>
        <w:rPr>
          <w:rFonts w:eastAsia="Times New Roman"/>
          <w:b/>
          <w:color w:val="000000"/>
          <w:sz w:val="17"/>
          <w:lang w:val="hr-HR"/>
        </w:rPr>
      </w:pPr>
      <w:hyperlink r:id="rId13">
        <w:r w:rsidR="00150E69" w:rsidRPr="00CD6CA7">
          <w:rPr>
            <w:rFonts w:eastAsia="Times New Roman"/>
            <w:b/>
            <w:color w:val="0000FF"/>
            <w:sz w:val="17"/>
            <w:u w:val="single"/>
            <w:lang w:val="hr-HR"/>
          </w:rPr>
          <w:t>WWW.STANDARDANDPOORS.COM/RATINGSDIRECT</w:t>
        </w:r>
      </w:hyperlink>
      <w:r w:rsidR="009E604E">
        <w:rPr>
          <w:rFonts w:eastAsia="Times New Roman"/>
          <w:b/>
          <w:color w:val="000000"/>
          <w:sz w:val="17"/>
          <w:lang w:val="hr-HR"/>
        </w:rPr>
        <w:tab/>
        <w:t>22</w:t>
      </w:r>
      <w:r w:rsidR="00150E69" w:rsidRPr="00CD6CA7">
        <w:rPr>
          <w:rFonts w:eastAsia="Times New Roman"/>
          <w:b/>
          <w:color w:val="000000"/>
          <w:sz w:val="17"/>
          <w:lang w:val="hr-HR"/>
        </w:rPr>
        <w:t xml:space="preserve">. </w:t>
      </w:r>
      <w:r w:rsidR="00235E52">
        <w:rPr>
          <w:rFonts w:eastAsia="Times New Roman"/>
          <w:b/>
          <w:color w:val="000000"/>
          <w:sz w:val="17"/>
          <w:lang w:val="hr-HR"/>
        </w:rPr>
        <w:t>prosinca</w:t>
      </w:r>
      <w:r w:rsidR="00235E52" w:rsidRPr="00CD6CA7">
        <w:rPr>
          <w:rFonts w:eastAsia="Times New Roman"/>
          <w:b/>
          <w:color w:val="000000"/>
          <w:sz w:val="17"/>
          <w:lang w:val="hr-HR"/>
        </w:rPr>
        <w:t xml:space="preserve"> </w:t>
      </w:r>
      <w:r w:rsidR="00150E69" w:rsidRPr="00CD6CA7">
        <w:rPr>
          <w:rFonts w:eastAsia="Times New Roman"/>
          <w:b/>
          <w:color w:val="000000"/>
          <w:sz w:val="17"/>
          <w:lang w:val="hr-HR"/>
        </w:rPr>
        <w:t xml:space="preserve">2016. </w:t>
      </w:r>
      <w:r w:rsidR="006341B4">
        <w:rPr>
          <w:rFonts w:eastAsia="Times New Roman"/>
          <w:b/>
          <w:color w:val="000000"/>
          <w:sz w:val="17"/>
          <w:lang w:val="hr-HR"/>
        </w:rPr>
        <w:t>4</w:t>
      </w:r>
    </w:p>
    <w:p w:rsidR="00150E69" w:rsidRPr="00CD6CA7" w:rsidRDefault="009E604E">
      <w:pPr>
        <w:spacing w:before="72" w:line="182" w:lineRule="exact"/>
        <w:jc w:val="right"/>
        <w:textAlignment w:val="baseline"/>
        <w:rPr>
          <w:rFonts w:eastAsia="Times New Roman"/>
          <w:color w:val="B2AEB4"/>
          <w:sz w:val="17"/>
          <w:lang w:val="hr-HR"/>
        </w:rPr>
      </w:pPr>
      <w:r>
        <w:rPr>
          <w:rFonts w:eastAsia="Times New Roman"/>
          <w:color w:val="B2AEB4"/>
          <w:sz w:val="17"/>
          <w:lang w:val="hr-HR"/>
        </w:rPr>
        <w:t>1778053</w:t>
      </w:r>
      <w:r w:rsidR="00150E69" w:rsidRPr="00CD6CA7">
        <w:rPr>
          <w:rFonts w:eastAsia="Times New Roman"/>
          <w:color w:val="B2AEB4"/>
          <w:sz w:val="17"/>
          <w:lang w:val="hr-HR"/>
        </w:rPr>
        <w:t xml:space="preserve"> | </w:t>
      </w:r>
      <w:r>
        <w:rPr>
          <w:rFonts w:eastAsia="Times New Roman"/>
          <w:color w:val="B2AEB4"/>
          <w:sz w:val="17"/>
          <w:lang w:val="hr-HR"/>
        </w:rPr>
        <w:t>300303550</w:t>
      </w:r>
    </w:p>
    <w:p w:rsidR="00150E69" w:rsidRPr="00CD6CA7" w:rsidRDefault="00150E69">
      <w:pPr>
        <w:rPr>
          <w:lang w:val="hr-HR"/>
        </w:rPr>
        <w:sectPr w:rsidR="00150E69" w:rsidRPr="00CD6CA7">
          <w:pgSz w:w="12240" w:h="15840"/>
          <w:pgMar w:top="720" w:right="1063" w:bottom="260" w:left="1077" w:header="720" w:footer="720" w:gutter="0"/>
          <w:cols w:space="720"/>
        </w:sectPr>
      </w:pPr>
    </w:p>
    <w:p w:rsidR="00150E69" w:rsidRPr="00CD6CA7" w:rsidRDefault="00020FF6">
      <w:pPr>
        <w:spacing w:before="7" w:line="225" w:lineRule="exact"/>
        <w:ind w:left="72"/>
        <w:jc w:val="right"/>
        <w:textAlignment w:val="baseline"/>
        <w:rPr>
          <w:rFonts w:ascii="Bookman Old Style" w:hAnsi="Bookman Old Style"/>
          <w:i/>
          <w:color w:val="000000"/>
          <w:spacing w:val="-14"/>
          <w:sz w:val="20"/>
          <w:lang w:val="hr-HR"/>
        </w:rPr>
      </w:pP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lastRenderedPageBreak/>
        <w:t xml:space="preserve">Ažurirano istraživanje: </w:t>
      </w:r>
      <w:r>
        <w:rPr>
          <w:rFonts w:eastAsia="Times New Roman"/>
          <w:i/>
          <w:color w:val="000000"/>
          <w:spacing w:val="-5"/>
          <w:sz w:val="21"/>
          <w:lang w:val="hr-HR"/>
        </w:rPr>
        <w:t>Izgledi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Zagreba, glavnog grada Hrvatske,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promijenjeni u stabilne nakon slične izmjene rejtinga Hrvatska; P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>otvrđen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rejting na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'BB'</w:t>
      </w:r>
    </w:p>
    <w:p w:rsidR="00150E69" w:rsidRPr="00CD6CA7" w:rsidRDefault="00150E69" w:rsidP="00105E06">
      <w:pPr>
        <w:spacing w:line="330" w:lineRule="exact"/>
        <w:ind w:left="72"/>
        <w:textAlignment w:val="baseline"/>
        <w:rPr>
          <w:rFonts w:eastAsia="Times New Roman"/>
          <w:b/>
          <w:color w:val="C31E29"/>
          <w:spacing w:val="-1"/>
          <w:sz w:val="29"/>
          <w:lang w:val="hr-HR"/>
        </w:rPr>
      </w:pPr>
      <w:r w:rsidRPr="00CD6CA7">
        <w:rPr>
          <w:rFonts w:eastAsia="Times New Roman"/>
          <w:b/>
          <w:color w:val="C31E29"/>
          <w:spacing w:val="-1"/>
          <w:sz w:val="29"/>
          <w:lang w:val="hr-HR"/>
        </w:rPr>
        <w:t>Prikaz rezultata rejtinga</w:t>
      </w:r>
    </w:p>
    <w:p w:rsidR="00150E69" w:rsidRPr="00CD6CA7" w:rsidRDefault="00150E69">
      <w:pPr>
        <w:spacing w:before="73" w:after="30" w:line="184" w:lineRule="exact"/>
        <w:ind w:left="72"/>
        <w:textAlignment w:val="baseline"/>
        <w:rPr>
          <w:rFonts w:eastAsia="Times New Roman"/>
          <w:b/>
          <w:color w:val="000000"/>
          <w:spacing w:val="9"/>
          <w:sz w:val="16"/>
          <w:lang w:val="hr-HR"/>
        </w:rPr>
      </w:pPr>
      <w:r w:rsidRPr="00CD6CA7">
        <w:rPr>
          <w:rFonts w:eastAsia="Times New Roman"/>
          <w:b/>
          <w:color w:val="000000"/>
          <w:spacing w:val="9"/>
          <w:sz w:val="16"/>
          <w:lang w:val="hr-HR"/>
        </w:rPr>
        <w:t>Tablica 3</w:t>
      </w:r>
      <w:r w:rsidR="006341B4">
        <w:rPr>
          <w:rFonts w:eastAsia="Times New Roman"/>
          <w:b/>
          <w:color w:val="000000"/>
          <w:spacing w:val="9"/>
          <w:sz w:val="16"/>
          <w:lang w:val="hr-HR"/>
        </w:rPr>
        <w:t>.</w:t>
      </w:r>
    </w:p>
    <w:p w:rsidR="00150E69" w:rsidRPr="00CD6CA7" w:rsidRDefault="00150E69">
      <w:pPr>
        <w:shd w:val="solid" w:color="E32335" w:fill="E32335"/>
        <w:spacing w:after="255" w:line="239" w:lineRule="exact"/>
        <w:ind w:left="72"/>
        <w:textAlignment w:val="baseline"/>
        <w:rPr>
          <w:rFonts w:eastAsia="Times New Roman"/>
          <w:b/>
          <w:color w:val="FFFFFF"/>
          <w:lang w:val="hr-HR"/>
        </w:rPr>
      </w:pPr>
      <w:r w:rsidRPr="00CD6CA7">
        <w:rPr>
          <w:rFonts w:eastAsia="Times New Roman"/>
          <w:b/>
          <w:color w:val="FFFFFF"/>
          <w:lang w:val="hr-HR"/>
        </w:rPr>
        <w:t>Prikaz rezultata rejtinga Grada Zagreba</w:t>
      </w:r>
    </w:p>
    <w:p w:rsidR="00150E69" w:rsidRPr="00CD6CA7" w:rsidRDefault="00150E69">
      <w:pPr>
        <w:spacing w:before="14" w:after="59" w:line="215" w:lineRule="exact"/>
        <w:ind w:left="72"/>
        <w:textAlignment w:val="baseline"/>
        <w:rPr>
          <w:rFonts w:eastAsia="Times New Roman"/>
          <w:b/>
          <w:color w:val="000000"/>
          <w:spacing w:val="-1"/>
          <w:sz w:val="20"/>
          <w:lang w:val="hr-HR"/>
        </w:rPr>
      </w:pPr>
      <w:r w:rsidRPr="00CD6CA7">
        <w:rPr>
          <w:rFonts w:eastAsia="Times New Roman"/>
          <w:b/>
          <w:color w:val="000000"/>
          <w:spacing w:val="-1"/>
          <w:sz w:val="20"/>
          <w:lang w:val="hr-HR"/>
        </w:rPr>
        <w:t>Ključni faktori rejtinga</w:t>
      </w:r>
    </w:p>
    <w:p w:rsidR="00150E69" w:rsidRPr="00CD6CA7" w:rsidRDefault="008846BB">
      <w:pPr>
        <w:tabs>
          <w:tab w:val="left" w:pos="8856"/>
        </w:tabs>
        <w:spacing w:before="100" w:line="189" w:lineRule="exact"/>
        <w:ind w:left="72"/>
        <w:textAlignment w:val="baseline"/>
        <w:rPr>
          <w:rFonts w:eastAsia="Times New Roman"/>
          <w:color w:val="000000"/>
          <w:spacing w:val="-1"/>
          <w:sz w:val="17"/>
          <w:lang w:val="hr-HR"/>
        </w:rPr>
      </w:pPr>
      <w:r>
        <w:rPr>
          <w:rFonts w:eastAsia="Times New Roman"/>
          <w:noProof/>
          <w:color w:val="000000"/>
          <w:sz w:val="17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1671320</wp:posOffset>
                </wp:positionV>
                <wp:extent cx="6414135" cy="0"/>
                <wp:effectExtent l="0" t="0" r="0" b="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131.6pt" to="558.9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qm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6yaehNb1wBIZXa2VAdPasXs9X0u0NKVy1RBx45vl4M5GUhI3mTEjbOwA37/rNmEEOOXsdG&#10;nRvbBUhoATpHPS53PfjZIwqH8zzLs+kMIzr4ElIMicY6/4nrDgWjxBJIR2By2jofiJBiCAn3KL0R&#10;Uka5pUI9gE9naUxwWgoWnCHM2cO+khadSBiY+MWqwPMYZvVRsQjWcsLWN9sTIa82XC5VwINSgM7N&#10;uk7Ej6f0ab1YL/JRPpmvR3la16OPmyofzTfZh1k9rauqzn4GalletIIxrgK7YTqz/O/Uv72T61zd&#10;5/PehuQteuwXkB3+kXTUMsh3HYS9ZpedHTSGgYzBt8cTJv5xD/bjE1/9AgAA//8DAFBLAwQUAAYA&#10;CAAAACEAk0iYIdwAAAAMAQAADwAAAGRycy9kb3ducmV2LnhtbEyPQUvEMBSE74L/ITzBm5uk0q3U&#10;posIFS8e3BXP2Sa2xeSlJNmm+uvNgqDHmfcxb6bZrdaQRfswORTANwyIxt6pCQcBb4fu5g5IiBKV&#10;NA61gC8dYNdeXjSyVi7hq172cSA5BEMtBYwxzjWloR+1lWHjZo359uG8lTFLP1DlZcrh1tCCsS21&#10;csL8YZSzfhx1/7k/WQHI47tJKabFf5dPJS+7Z/bSCXF9tT7cA4l6jX8wnOvn6tDmTkd3QhWIyZpV&#10;VUYFFNvbAsiZ4LzKa46/Fm0b+n9E+wMAAP//AwBQSwECLQAUAAYACAAAACEAtoM4kv4AAADhAQAA&#10;EwAAAAAAAAAAAAAAAAAAAAAAW0NvbnRlbnRfVHlwZXNdLnhtbFBLAQItABQABgAIAAAAIQA4/SH/&#10;1gAAAJQBAAALAAAAAAAAAAAAAAAAAC8BAABfcmVscy8ucmVsc1BLAQItABQABgAIAAAAIQDDU3qm&#10;EgIAACoEAAAOAAAAAAAAAAAAAAAAAC4CAABkcnMvZTJvRG9jLnhtbFBLAQItABQABgAIAAAAIQCT&#10;SJgh3AAAAAwBAAAPAAAAAAAAAAAAAAAAAGwEAABkcnMvZG93bnJldi54bWxQSwUGAAAAAAQABADz&#10;AAAAdQUAAAAA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>Institucionalni okvir</w: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ab/>
        <w:t>Nestabiln</w:t>
      </w:r>
      <w:r w:rsidR="006341B4">
        <w:rPr>
          <w:rFonts w:eastAsia="Times New Roman"/>
          <w:color w:val="000000"/>
          <w:spacing w:val="-1"/>
          <w:sz w:val="17"/>
          <w:lang w:val="hr-HR"/>
        </w:rPr>
        <w:t>o</w: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 xml:space="preserve"> i</w:t>
      </w:r>
    </w:p>
    <w:p w:rsidR="00150E69" w:rsidRPr="00CD6CA7" w:rsidRDefault="00150E69">
      <w:pPr>
        <w:spacing w:before="3" w:after="13" w:line="189" w:lineRule="exact"/>
        <w:ind w:left="8856"/>
        <w:textAlignment w:val="baseline"/>
        <w:rPr>
          <w:rFonts w:eastAsia="Times New Roman"/>
          <w:color w:val="000000"/>
          <w:sz w:val="17"/>
          <w:lang w:val="hr-HR"/>
        </w:rPr>
      </w:pPr>
      <w:r w:rsidRPr="00CD6CA7">
        <w:rPr>
          <w:rFonts w:eastAsia="Times New Roman"/>
          <w:color w:val="000000"/>
          <w:sz w:val="17"/>
          <w:lang w:val="hr-HR"/>
        </w:rPr>
        <w:t>neuravnotežen</w:t>
      </w:r>
      <w:r w:rsidR="006341B4">
        <w:rPr>
          <w:rFonts w:eastAsia="Times New Roman"/>
          <w:color w:val="000000"/>
          <w:sz w:val="17"/>
          <w:lang w:val="hr-HR"/>
        </w:rPr>
        <w:t>o</w:t>
      </w:r>
    </w:p>
    <w:p w:rsidR="00150E69" w:rsidRPr="00CD6CA7" w:rsidRDefault="008846BB">
      <w:pPr>
        <w:tabs>
          <w:tab w:val="left" w:pos="8856"/>
        </w:tabs>
        <w:spacing w:before="102" w:after="12" w:line="189" w:lineRule="exact"/>
        <w:ind w:left="72"/>
        <w:textAlignment w:val="baseline"/>
        <w:rPr>
          <w:rFonts w:eastAsia="Times New Roman"/>
          <w:color w:val="000000"/>
          <w:spacing w:val="-3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1980565</wp:posOffset>
                </wp:positionV>
                <wp:extent cx="641413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155.95pt" to="558.9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kVEQ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QHkU6&#10;0GgrFEez0JreuAIiKrWzoTh6Vi9mq+l3h5SuWqIOPFJ8vRhIy0JG8iYlbJyBC/b9Z80ghhy9jn06&#10;N7YLkNABdI5yXO5y8LNHFA7neZZn0xlGdPAlpBgSjXX+E9cdCkaJJXCOwOS0dT4QIcUQEu5ReiOk&#10;jGpLhfoST7MPs5jgtBQsOEOYs4d9JS06kTAv8YtVgecxzOqjYhGs5YStb7YnQl5tuFyqgAelAJ2b&#10;dR2IH0/p03qxXuSjfDJfj/K0rkcfN1U+mm+AUj2tq6rOfgZqWV60gjGuArthOLP878S/PZPrWN3H&#10;896G5C167BeQHf6RdNQyyHcdhL1ml50dNIZ5jMG3txMG/nEP9uMLX/0CAAD//wMAUEsDBBQABgAI&#10;AAAAIQBdOfky3wAAAAwBAAAPAAAAZHJzL2Rvd25yZXYueG1sTI9BS8QwEIXvgv8hjODNTaOw1dp0&#10;sUUPe1BwV1Bv2WZsi82kNulu/ffOgqDH9+bjzXv5ana92OMYOk8a1CIBgVR721Gj4WX7cHENIkRD&#10;1vSeUMM3BlgVpye5yaw/0DPuN7ERHEIhMxraGIdMylC36ExY+AGJbx9+dCayHBtpR3PgcNfLyyRZ&#10;Smc64g+tGbBqsf7cTE5DDK9vT3Faf5XL8rHCbfle3cu11udn890tiIhz/IPhWJ+rQ8Gddn4iG0TP&#10;OklTRjVcKXUD4kgolfKa3a8li1z+H1H8AAAA//8DAFBLAQItABQABgAIAAAAIQC2gziS/gAAAOEB&#10;AAATAAAAAAAAAAAAAAAAAAAAAABbQ29udGVudF9UeXBlc10ueG1sUEsBAi0AFAAGAAgAAAAhADj9&#10;If/WAAAAlAEAAAsAAAAAAAAAAAAAAAAALwEAAF9yZWxzLy5yZWxzUEsBAi0AFAAGAAgAAAAhAKW0&#10;aRURAgAAKQQAAA4AAAAAAAAAAAAAAAAALgIAAGRycy9lMm9Eb2MueG1sUEsBAi0AFAAGAAgAAAAh&#10;AF05+TLfAAAADAEAAA8AAAAAAAAAAAAAAAAAawQAAGRycy9kb3ducmV2LnhtbFBLBQYAAAAABAAE&#10;APMAAAB3BQAAAAA=&#10;" strokeweight=".2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3"/>
          <w:sz w:val="17"/>
          <w:lang w:val="hr-HR"/>
        </w:rPr>
        <w:t>Gospodarstvo</w:t>
      </w:r>
      <w:r w:rsidR="00150E69" w:rsidRPr="00CD6CA7">
        <w:rPr>
          <w:rFonts w:eastAsia="Times New Roman"/>
          <w:color w:val="000000"/>
          <w:spacing w:val="-3"/>
          <w:sz w:val="17"/>
          <w:lang w:val="hr-HR"/>
        </w:rPr>
        <w:tab/>
        <w:t>Prosječno</w:t>
      </w:r>
    </w:p>
    <w:p w:rsidR="00150E69" w:rsidRPr="00CD6CA7" w:rsidRDefault="008846BB">
      <w:pPr>
        <w:tabs>
          <w:tab w:val="left" w:pos="8856"/>
        </w:tabs>
        <w:spacing w:before="102" w:after="12" w:line="189" w:lineRule="exact"/>
        <w:ind w:left="72"/>
        <w:textAlignment w:val="baseline"/>
        <w:rPr>
          <w:rFonts w:eastAsia="Times New Roman"/>
          <w:color w:val="000000"/>
          <w:spacing w:val="-1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2208530</wp:posOffset>
                </wp:positionV>
                <wp:extent cx="641413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173.9pt" to="558.9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EJ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0JneuAICKrWzoTZ6Vi/mWdPvDildtUQdeGT4ejGQloWM5E1K2DgD+Pv+s2YQQ45exzad&#10;G9sFSGgAOkc1Lnc1+NkjCofzPMuz6QwjOvgSUgyJxjr/iesOBaPEEjhHYHJ6dj4QIcUQEu5Reiuk&#10;jGJLhXoAn87SmOC0FCw4Q5izh30lLTqRMC7xi1WB5zHM6qNiEazlhG1utidCXm24XKqAB6UAnZt1&#10;nYcfy3S5WWwW+SifzDejPK3r0cdtlY/m2+zDrJ7WVVVnPwO1LC9awRhXgd0wm1n+d9rfXsl1qu7T&#10;eW9D8hY99gvIDv9IOmoZ5LsOwl6zy84OGsM4xuDb0wnz/rgH+/GBr38BAAD//wMAUEsDBBQABgAI&#10;AAAAIQCbQDca3AAAAAwBAAAPAAAAZHJzL2Rvd25yZXYueG1sTI9BS8QwEIXvgv8hjODNTaLWSrfp&#10;IkLFiwdX8Zxtsm0xmZQk21R/vSkIeps383jzvXq3WENm7cPoUADfMCAaO6dG7AW8v7VX90BClKik&#10;cagFfOkAu+b8rJaVcglf9byPPckhGCopYIhxqigN3aCtDBs3acy3o/NWxix9T5WXKYdbQ68Zu6NW&#10;jpg/DHLSj4PuPvcnKwB5/DApxTT77+Kp4EX7zF5aIS4vloctkKiX+GeGFT+jQ5OZDu6EKhCTNSvL&#10;bBVwc1vmDquD83U6/K5oU9P/JZofAAAA//8DAFBLAQItABQABgAIAAAAIQC2gziS/gAAAOEBAAAT&#10;AAAAAAAAAAAAAAAAAAAAAABbQ29udGVudF9UeXBlc10ueG1sUEsBAi0AFAAGAAgAAAAhADj9If/W&#10;AAAAlAEAAAsAAAAAAAAAAAAAAAAALwEAAF9yZWxzLy5yZWxzUEsBAi0AFAAGAAgAAAAhAImVgQkR&#10;AgAAKAQAAA4AAAAAAAAAAAAAAAAALgIAAGRycy9lMm9Eb2MueG1sUEsBAi0AFAAGAAgAAAAhAJtA&#10;NxrcAAAADAEAAA8AAAAAAAAAAAAAAAAAawQAAGRycy9kb3ducmV2LnhtbFBLBQYAAAAABAAEAPMA&#10;AAB0BQAAAAA=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>Financijsko upravljanje</w: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ab/>
        <w:t>Slabo</w:t>
      </w:r>
    </w:p>
    <w:p w:rsidR="00150E69" w:rsidRPr="00CD6CA7" w:rsidRDefault="008846BB">
      <w:pPr>
        <w:tabs>
          <w:tab w:val="left" w:pos="8856"/>
        </w:tabs>
        <w:spacing w:before="102" w:after="12" w:line="189" w:lineRule="exact"/>
        <w:ind w:left="72"/>
        <w:textAlignment w:val="baseline"/>
        <w:rPr>
          <w:rFonts w:eastAsia="Times New Roman"/>
          <w:color w:val="000000"/>
          <w:spacing w:val="-1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2381250</wp:posOffset>
                </wp:positionV>
                <wp:extent cx="641413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187.5pt" to="558.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bkEQ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glCId&#10;SPQsFEcPoTO9cQUEVGprQ230pF7Ns6bfHVK6aona88jw7WwgLQsZybuUsHEG8Hf9F80ghhy8jm06&#10;NbYLkNAAdIpqnG9q8JNHFA7neZZn0xlGdPAlpBgSjXX+M9cdCkaJJXCOwOT47HwgQoohJNyj9EZI&#10;GcWWCvUAPp2lMcFpKVhwhjBn97tKWnQkYVziF6sCz32Y1QfFIljLCVtfbU+EvNhwuVQBD0oBOlfr&#10;Mg8/HtPH9WK9yEf5ZL4e5Wldjz5tqnw032QPs3paV1Wd/QzUsrxoBWNcBXbDbGb532l/fSWXqbpN&#10;560NyXv02C8gO/wj6ahlkO8yCDvNzls7aAzjGIOvTyfM+/0e7PsHvvoFAAD//wMAUEsDBBQABgAI&#10;AAAAIQA99Imi3AAAAAwBAAAPAAAAZHJzL2Rvd25yZXYueG1sTI9BS8QwEIXvgv8hjODNTaPUSm26&#10;iFDx4sFd8ZxtYltMJiXJNtVf7ywIenxvPt6812xXZ9liQpw8ShCbApjB3usJBwlv++7qDlhMCrWy&#10;Ho2ELxNh256fNarWPuOrWXZpYBSCsVYSxpTmmvPYj8apuPGzQbp9+OBUIhkGroPKFO4svy6KW+7U&#10;hPRhVLN5HE3/uTs6CSjSu8055SV8l0+lKLvn4qWT8vJifbgHlsya/mA41afq0FKngz+ijsySLqqK&#10;UAk3VUmjToQQFa05/Fq8bfj/Ee0PAAAA//8DAFBLAQItABQABgAIAAAAIQC2gziS/gAAAOEBAAAT&#10;AAAAAAAAAAAAAAAAAAAAAABbQ29udGVudF9UeXBlc10ueG1sUEsBAi0AFAAGAAgAAAAhADj9If/W&#10;AAAAlAEAAAsAAAAAAAAAAAAAAAAALwEAAF9yZWxzLy5yZWxzUEsBAi0AFAAGAAgAAAAhAO+shuQR&#10;AgAAKAQAAA4AAAAAAAAAAAAAAAAALgIAAGRycy9lMm9Eb2MueG1sUEsBAi0AFAAGAAgAAAAhAD30&#10;iaLcAAAADAEAAA8AAAAAAAAAAAAAAAAAawQAAGRycy9kb3ducmV2LnhtbFBLBQYAAAAABAAEAPMA&#10;AAB0BQAAAAA=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>Proračunska fleksibilnost</w: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ab/>
        <w:t>Slabo</w:t>
      </w:r>
    </w:p>
    <w:p w:rsidR="00150E69" w:rsidRPr="00CD6CA7" w:rsidRDefault="008846BB">
      <w:pPr>
        <w:tabs>
          <w:tab w:val="left" w:pos="8856"/>
        </w:tabs>
        <w:spacing w:before="102" w:after="12" w:line="189" w:lineRule="exact"/>
        <w:ind w:left="72"/>
        <w:textAlignment w:val="baseline"/>
        <w:rPr>
          <w:rFonts w:eastAsia="Times New Roman"/>
          <w:color w:val="000000"/>
          <w:spacing w:val="-1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2592070</wp:posOffset>
                </wp:positionV>
                <wp:extent cx="641413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204.1pt" to="558.9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0P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G0CJ3pjSsgoFJbG2qjJ/VqnjX97pDSVUvUnkeGb2cDaVnISN6lhI0zgL/rv2gGMeTgdWzT&#10;qbFdgIQGoFNU43xTg588onA4z7M8m84wooMvIcWQaKzzn7nuUDBKLIFzBCbHZ+cDEVIMIeEepTdC&#10;yii2VKgH8OksjQlOS8GCM4Q5u99V0qIjCeMSv1gVeO7DrD4oFsFaTtj6ansi5MWGy6UKeFAK0Lla&#10;l3n48Zg+rhfrRT7KJ/P1KE/revRpU+Wj+SZ7mNXTuqrq7GegluVFKxjjKrAbZjPL/0776yu5TNVt&#10;Om9tSN6jx34B2eEfSUctg3yXQdhpdt7aQWMYxxh8fTph3u/3YN8/8NUvAAAA//8DAFBLAwQUAAYA&#10;CAAAACEAyM/9Fd0AAAAMAQAADwAAAGRycy9kb3ducmV2LnhtbEyPQUvEMBSE74L/IbwFb26Sxdql&#10;Nl1EqHjx4K54zjaxLZu8lCTbVH+9WRD0OPM+5s3Uu8UaMmsfRocC+JoB0dg5NWIv4P3Q3m6BhChR&#10;SeNQC/jSAXbN9VUtK+USvul5H3uSQzBUUsAQ41RRGrpBWxnWbtKYb5/OWxmz9D1VXqYcbg3dMHZP&#10;rRwxfxjkpJ8G3Z32ZysAefwwKcU0++/iueBF+8JeWyFuVsvjA5Col/gHw6V+rg5N7nR0Z1SBmKxZ&#10;WWZUwB3bboBcCM7LvOb4a9Gmpv9HND8AAAD//wMAUEsBAi0AFAAGAAgAAAAhALaDOJL+AAAA4QEA&#10;ABMAAAAAAAAAAAAAAAAAAAAAAFtDb250ZW50X1R5cGVzXS54bWxQSwECLQAUAAYACAAAACEAOP0h&#10;/9YAAACUAQAACwAAAAAAAAAAAAAAAAAvAQAAX3JlbHMvLnJlbHNQSwECLQAUAAYACAAAACEAKtr9&#10;DxICAAAoBAAADgAAAAAAAAAAAAAAAAAuAgAAZHJzL2Uyb0RvYy54bWxQSwECLQAUAAYACAAAACEA&#10;yM/9Fd0AAAAMAQAADwAAAAAAAAAAAAAAAABsBAAAZHJzL2Rvd25yZXYueG1sUEsFBgAAAAAEAAQA&#10;8wAAAHYFAAAAAA==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>Realizacija proračuna</w:t>
      </w:r>
      <w:r w:rsidR="00150E69" w:rsidRPr="00CD6CA7">
        <w:rPr>
          <w:rFonts w:eastAsia="Times New Roman"/>
          <w:color w:val="000000"/>
          <w:spacing w:val="-1"/>
          <w:sz w:val="17"/>
          <w:lang w:val="hr-HR"/>
        </w:rPr>
        <w:tab/>
        <w:t>Vrlo snažn</w:t>
      </w:r>
      <w:r w:rsidR="006341B4">
        <w:rPr>
          <w:rFonts w:eastAsia="Times New Roman"/>
          <w:color w:val="000000"/>
          <w:spacing w:val="-1"/>
          <w:sz w:val="17"/>
          <w:lang w:val="hr-HR"/>
        </w:rPr>
        <w:t>o</w:t>
      </w:r>
    </w:p>
    <w:p w:rsidR="00150E69" w:rsidRPr="00CD6CA7" w:rsidRDefault="008846BB">
      <w:pPr>
        <w:tabs>
          <w:tab w:val="left" w:pos="8856"/>
        </w:tabs>
        <w:spacing w:before="98" w:after="17" w:line="189" w:lineRule="exact"/>
        <w:ind w:left="72"/>
        <w:textAlignment w:val="baseline"/>
        <w:rPr>
          <w:rFonts w:eastAsia="Times New Roman"/>
          <w:color w:val="000000"/>
          <w:spacing w:val="-3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2764790</wp:posOffset>
                </wp:positionV>
                <wp:extent cx="6414135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217.7pt" to="558.9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r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L0JneuAICKrWzoTZ6Vi/mWdPvDildtUQdeGT4ejGQloWM5E1K2DgD+Pv+s2YQQ45exzad&#10;G9sFSGgAOkc1Lnc1+NkjCofzPMuz6QwjOvgSUgyJxjr/iesOBaPEEjhHYHJ6dj4QIcUQEu5Reiuk&#10;jGJLhXoAn87SmOC0FCw4Q5izh30lLTqRMC7xi1WB5zHM6qNiEazlhG1utidCXm24XKqAB6UAnZt1&#10;nYcfy3S5WWwW+SifzDejPK3r0cdtlY/m2+zDrJ7WVVVnPwO1LC9awRhXgd0wm1n+d9rfXsl1qu7T&#10;eW9D8hY99gvIDv9IOmoZ5LsOwl6zy84OGsM4xuDb0wnz/rgH+/GBr38BAAD//wMAUEsDBBQABgAI&#10;AAAAIQAUhAVC3QAAAAwBAAAPAAAAZHJzL2Rvd25yZXYueG1sTI9BS8QwFITvgv8hPMGbm0S3dqlN&#10;FxEqXjy4iudsk22LyUtJsk3115sFwT3OvI95M/V2sYbM2ofRoQC+YkA0dk6N2Av4eG9vNkBClKik&#10;cagFfOsA2+byopaVcgnf9LyLPckhGCopYIhxqigN3aCtDCs3acy3g/NWxix9T5WXKYdbQ28Zu6dW&#10;jpg/DHLST4PuvnZHKwB5/DQpxTT7n+K54EX7wl5bIa6vlscHIFEv8R+GU/1cHZrcae+OqAIxWbOy&#10;zKiA9V2xBnIiOC/zmv2fRZuano9ofgEAAP//AwBQSwECLQAUAAYACAAAACEAtoM4kv4AAADhAQAA&#10;EwAAAAAAAAAAAAAAAAAAAAAAW0NvbnRlbnRfVHlwZXNdLnhtbFBLAQItABQABgAIAAAAIQA4/SH/&#10;1gAAAJQBAAALAAAAAAAAAAAAAAAAAC8BAABfcmVscy8ucmVsc1BLAQItABQABgAIAAAAIQBM4/ri&#10;EQIAACgEAAAOAAAAAAAAAAAAAAAAAC4CAABkcnMvZTJvRG9jLnhtbFBLAQItABQABgAIAAAAIQAU&#10;hAVC3QAAAAwBAAAPAAAAAAAAAAAAAAAAAGsEAABkcnMvZG93bnJldi54bWxQSwUGAAAAAAQABADz&#10;AAAAdQUAAAAA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3"/>
          <w:sz w:val="17"/>
          <w:lang w:val="hr-HR"/>
        </w:rPr>
        <w:t>Likvidnost</w:t>
      </w:r>
      <w:r w:rsidR="00150E69" w:rsidRPr="00CD6CA7">
        <w:rPr>
          <w:rFonts w:eastAsia="Times New Roman"/>
          <w:color w:val="000000"/>
          <w:spacing w:val="-3"/>
          <w:sz w:val="17"/>
          <w:lang w:val="hr-HR"/>
        </w:rPr>
        <w:tab/>
        <w:t>Slab</w:t>
      </w:r>
      <w:r w:rsidR="006341B4">
        <w:rPr>
          <w:rFonts w:eastAsia="Times New Roman"/>
          <w:color w:val="000000"/>
          <w:spacing w:val="-3"/>
          <w:sz w:val="17"/>
          <w:lang w:val="hr-HR"/>
        </w:rPr>
        <w:t>o</w:t>
      </w:r>
    </w:p>
    <w:p w:rsidR="00150E69" w:rsidRPr="00CD6CA7" w:rsidRDefault="008846BB">
      <w:pPr>
        <w:tabs>
          <w:tab w:val="left" w:pos="8856"/>
        </w:tabs>
        <w:spacing w:before="97" w:after="17" w:line="189" w:lineRule="exact"/>
        <w:ind w:left="72"/>
        <w:textAlignment w:val="baseline"/>
        <w:rPr>
          <w:rFonts w:eastAsia="Times New Roman"/>
          <w:color w:val="000000"/>
          <w:spacing w:val="-2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2955925</wp:posOffset>
                </wp:positionV>
                <wp:extent cx="6414135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232.75pt" to="558.9pt,2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P7EgIAACkEAAAOAAAAZHJzL2Uyb0RvYy54bWysU82O2jAQvlfqO1i+QxIIlI0IqyqBXmiL&#10;tNsHMLZDrDq2ZRsCqvruHRuC2PZSVc3BGXtmvvnmb/l87iQ6ceuEViXOxilGXFHNhDqU+NvrZrTA&#10;yHmiGJFa8RJfuMPPq/fvlr0p+ES3WjJuEYAoV/SmxK33pkgSR1veETfWhitQNtp2xMPVHhJmSQ/o&#10;nUwmaTpPem2ZsZpy5+C1virxKuI3Daf+a9M47pEsMXDz8bTx3IczWS1JcbDEtILeaJB/YNERoSDo&#10;HaomnqCjFX9AdYJa7XTjx1R3iW4aQXnMAbLJ0t+yeWmJ4TEXKI4z9zK5/wdLv5x2FglW4hlGinTQ&#10;oq1QHGWxNL1xBVhUamdDcvSsXsxW0+8OKV21RB14pPh6MeCXhWImb1zCxRkIsO8/awY25Oh1rNO5&#10;sV2AhAqgc2zH5d4OfvaIwuM8z/JsCrzooEtIMTga6/wnrjsUhBJLIB2ByWnrfCBCisEkxFF6I6SM&#10;3ZYK9QA+naXRwWkpWFAGM2cP+0padCJhXuIXswLNo5nVR8UiWMsJW99kT4S8yhBcqoAHqQCdm3Qd&#10;iB9P6dN6sV7ko3wyX4/ytK5HHzdVPppvsg+zelpXVZ39DNSyvGgFY1wFdsNwZvnfNf+2Jtexuo/n&#10;vQzJW/RYLyA7/CPp2MvQvrBNrthrdtnZoccwj9H4tjth4B/vID9u+OoXAAAA//8DAFBLAwQUAAYA&#10;CAAAACEAE6+J6twAAAAMAQAADwAAAGRycy9kb3ducmV2LnhtbEyPQUvEMBSE74L/ITzBm5tEzFZq&#10;00WEihcPruI528S2mLyUJNtUf71ZEPQ48z7mzTS71VmymBAnjxL4hgEx2Hs94SDh7bW7ugUSk0Kt&#10;rEcj4ctE2LXnZ42qtc/4YpZ9GkgJwVgrCWNKc01p7EfjVNz42WC5ffjgVCoyDFQHlUu4s/SasS11&#10;asLyYVSzeRhN/7k/OgnI07vNOeUlfItHwUX3xJ47KS8v1vs7IMms6Q+GU/1SHdrS6eCPqCOxRbOq&#10;KqiEm60QQE4E51VZc/i1aNvQ/yPaHwAAAP//AwBQSwECLQAUAAYACAAAACEAtoM4kv4AAADhAQAA&#10;EwAAAAAAAAAAAAAAAAAAAAAAW0NvbnRlbnRfVHlwZXNdLnhtbFBLAQItABQABgAIAAAAIQA4/SH/&#10;1gAAAJQBAAALAAAAAAAAAAAAAAAAAC8BAABfcmVscy8ucmVsc1BLAQItABQABgAIAAAAIQDHa4P7&#10;EgIAACkEAAAOAAAAAAAAAAAAAAAAAC4CAABkcnMvZTJvRG9jLnhtbFBLAQItABQABgAIAAAAIQAT&#10;r4nq3AAAAAwBAAAPAAAAAAAAAAAAAAAAAGwEAABkcnMvZG93bnJldi54bWxQSwUGAAAAAAQABADz&#10;AAAAdQUAAAAA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pacing w:val="-2"/>
          <w:sz w:val="17"/>
          <w:lang w:val="hr-HR"/>
        </w:rPr>
        <w:t>Dužničko op</w:t>
      </w:r>
      <w:r w:rsidR="006341B4">
        <w:rPr>
          <w:rFonts w:eastAsia="Times New Roman"/>
          <w:color w:val="000000"/>
          <w:spacing w:val="-2"/>
          <w:sz w:val="17"/>
          <w:lang w:val="hr-HR"/>
        </w:rPr>
        <w:t>terećenje</w:t>
      </w:r>
      <w:r w:rsidR="006341B4">
        <w:rPr>
          <w:rFonts w:eastAsia="Times New Roman"/>
          <w:color w:val="000000"/>
          <w:spacing w:val="-2"/>
          <w:sz w:val="17"/>
          <w:lang w:val="hr-HR"/>
        </w:rPr>
        <w:tab/>
        <w:t>Nisko</w:t>
      </w:r>
    </w:p>
    <w:p w:rsidR="00150E69" w:rsidRPr="00CD6CA7" w:rsidRDefault="008846BB">
      <w:pPr>
        <w:tabs>
          <w:tab w:val="left" w:pos="8856"/>
        </w:tabs>
        <w:spacing w:before="97" w:after="118" w:line="189" w:lineRule="exact"/>
        <w:ind w:left="72"/>
        <w:textAlignment w:val="baseline"/>
        <w:rPr>
          <w:rFonts w:eastAsia="Times New Roman"/>
          <w:color w:val="000000"/>
          <w:sz w:val="17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3358515</wp:posOffset>
                </wp:positionV>
                <wp:extent cx="6414135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264.45pt" to="558.9pt,2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Qe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jHSJEO&#10;JNoKxVE2Ca3pjSsgolI7G4qjZ/Vitpp+d0jpqiXqwCPF14uBvCxkJG9SwsYZuGDff9YMYsjR69in&#10;c2O7AAkdQOcox+UuBz97ROFwnmd5Np1hRAdfQooh0VjnP3HdoWCUWALpCExOW+cDEVIMIeEepTdC&#10;yqi2VKgH8OksjQlOS8GCM4Q5e9hX0qITCfMSv1gVeB7DrD4qFsFaTtj6Znsi5NWGy6UKeFAK0LlZ&#10;14H48ZQ+rRfrRT7KJ/P1KE/revRxU+Wj+Sb7MKundVXV2c9ALcuLVjDGVWA3DGeW/534t2dyHav7&#10;eN7bkLxFj/0CssM/ko5aBvmug7DX7LKzg8YwjzH49nbCwD/uwX584atfAAAA//8DAFBLAwQUAAYA&#10;CAAAACEAxnmA290AAAAMAQAADwAAAGRycy9kb3ducmV2LnhtbEyPQUvEMBSE74L/ITzBm5tkoXat&#10;TRcRKl48uCues022LZu8lCTbVH+9WRD0OPM+5s3U28UaMmsfRocC+IoB0dg5NWIv4GPf3m2AhChR&#10;SeNQC/jSAbbN9VUtK+USvut5F3uSQzBUUsAQ41RRGrpBWxlWbtKYb0fnrYxZ+p4qL1MOt4auGbun&#10;Vo6YPwxy0s+D7k67sxWAPH6alGKa/XfxUvCifWVvrRC3N8vTI5Col/gHw6V+rg5N7nRwZ1SBmKxZ&#10;WWZUQLHePAC5EJyXec3h16JNTf+PaH4AAAD//wMAUEsBAi0AFAAGAAgAAAAhALaDOJL+AAAA4QEA&#10;ABMAAAAAAAAAAAAAAAAAAAAAAFtDb250ZW50X1R5cGVzXS54bWxQSwECLQAUAAYACAAAACEAOP0h&#10;/9YAAACUAQAACwAAAAAAAAAAAAAAAAAvAQAAX3JlbHMvLnJlbHNQSwECLQAUAAYACAAAACEACZZU&#10;HhICAAApBAAADgAAAAAAAAAAAAAAAAAuAgAAZHJzL2Uyb0RvYy54bWxQSwECLQAUAAYACAAAACEA&#10;xnmA290AAAAMAQAADwAAAAAAAAAAAAAAAABsBAAAZHJzL2Rvd25yZXYueG1sUEsFBgAAAAAEAAQA&#10;8wAAAHY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ge">
                  <wp:posOffset>3147695</wp:posOffset>
                </wp:positionV>
                <wp:extent cx="6414135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247.85pt" to="558.9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D+EwIAACkEAAAOAAAAZHJzL2Uyb0RvYy54bWysU8uu2jAQ3VfqP1jeQxIIlBsRrqoEuqEt&#10;0r39AGM7xKpjW7YhoKr/3rEJtLSbqmoWzthz5vjMw8vncyfRiVsntCpxNk4x4opqJtShxF9eN6MF&#10;Rs4TxYjUipf4wh1+Xr19s+xNwSe61ZJxi4BEuaI3JW69N0WSONryjrixNlyBs9G2Ix629pAwS3pg&#10;72QySdN50mvLjNWUOwen9dWJV5G/aTj1n5vGcY9kiUGbj6uN6z6syWpJioMlphV0kEH+QUVHhIJL&#10;71Q18QQdrfiDqhPUaqcbP6a6S3TTCMpjDpBNlv6WzUtLDI+5QHGcuZfJ/T9a+um0s0iwEk8xUqSD&#10;Fm2F4ijLQml64wpAVGpnQ3L0rF7MVtOvDildtUQdeJT4ejEQFyOSh5CwcQYu2PcfNQMMOXod63Ru&#10;bBcooQLoHNtxubeDnz2icDjPszybzjCiN19Cilugsc5/4LpDwSixBNGRmJy2zoN0gN4g4R6lN0LK&#10;2G2pUA/k01kaA5yWggVngDl72FfSohMJ8xK/UAcge4BZfVQskrWcsPVgeyLk1Qa8VIEPUgE5g3Ud&#10;iG9P6dN6sV7ko3wyX4/ytK5H7zdVPppvsnezelpXVZ19D9KyvGgFY1wFdbfhzPK/a/7wTK5jdR/P&#10;exmSR/aYIoi9/aPo2MvQvusg7DW77GyoRmgrzGMED28nDPyv+4j6+cJXPwAAAP//AwBQSwMEFAAG&#10;AAgAAAAhAOGpBpLcAAAADAEAAA8AAABkcnMvZG93bnJldi54bWxMj0FLxDAQhe+C/yGM4M1NI9Zq&#10;bbqIUPHiwVU8Z5vYFpNJSbJN9dc7C4Le5s083nyv2a7OssWEOHmUIDYFMIO91xMOEt5eu4sbYDEp&#10;1Mp6NBK+TIRte3rSqFr7jC9m2aWBUQjGWkkYU5przmM/Gqfixs8G6fbhg1OJZBi4DipTuLP8siiu&#10;uVMT0odRzeZhNP3n7uAkoEjvNueUl/BdPpai7J6K507K87P1/g5YMmv6M8MRn9ChJaa9P6COzJIu&#10;qoqsEq5uSxqODiEqarP/XfG24f9LtD8AAAD//wMAUEsBAi0AFAAGAAgAAAAhALaDOJL+AAAA4QEA&#10;ABMAAAAAAAAAAAAAAAAAAAAAAFtDb250ZW50X1R5cGVzXS54bWxQSwECLQAUAAYACAAAACEAOP0h&#10;/9YAAACUAQAACwAAAAAAAAAAAAAAAAAvAQAAX3JlbHMvLnJlbHNQSwECLQAUAAYACAAAACEA6tcA&#10;/hMCAAApBAAADgAAAAAAAAAAAAAAAAAuAgAAZHJzL2Uyb0RvYy54bWxQSwECLQAUAAYACAAAACEA&#10;4akGktwAAAAMAQAADwAAAAAAAAAAAAAAAABtBAAAZHJzL2Rvd25yZXYueG1sUEsFBgAAAAAEAAQA&#10;8wAAAHYFAAAAAA==&#10;" strokeweight=".5pt">
                <w10:wrap anchorx="page" anchory="page"/>
              </v:line>
            </w:pict>
          </mc:Fallback>
        </mc:AlternateContent>
      </w:r>
      <w:r w:rsidR="00150E69" w:rsidRPr="00CD6CA7">
        <w:rPr>
          <w:rFonts w:eastAsia="Times New Roman"/>
          <w:color w:val="000000"/>
          <w:sz w:val="17"/>
          <w:lang w:val="hr-HR"/>
        </w:rPr>
        <w:t>Potencijalne obveze</w:t>
      </w:r>
      <w:r w:rsidR="00150E69" w:rsidRPr="00CD6CA7">
        <w:rPr>
          <w:rFonts w:eastAsia="Times New Roman"/>
          <w:color w:val="000000"/>
          <w:sz w:val="17"/>
          <w:lang w:val="hr-HR"/>
        </w:rPr>
        <w:tab/>
        <w:t>Umjeren</w:t>
      </w:r>
      <w:r w:rsidR="006341B4">
        <w:rPr>
          <w:rFonts w:eastAsia="Times New Roman"/>
          <w:color w:val="000000"/>
          <w:sz w:val="17"/>
          <w:lang w:val="hr-HR"/>
        </w:rPr>
        <w:t>o</w:t>
      </w:r>
    </w:p>
    <w:p w:rsidR="00150E69" w:rsidRPr="00CD6CA7" w:rsidRDefault="00150E69" w:rsidP="006341B4">
      <w:pPr>
        <w:spacing w:before="118" w:line="192" w:lineRule="exact"/>
        <w:ind w:right="72"/>
        <w:textAlignment w:val="baseline"/>
        <w:rPr>
          <w:rFonts w:eastAsia="Times New Roman"/>
          <w:color w:val="000000"/>
          <w:sz w:val="17"/>
          <w:lang w:val="hr-HR"/>
        </w:rPr>
      </w:pPr>
      <w:r w:rsidRPr="006341B4">
        <w:rPr>
          <w:rFonts w:eastAsia="Times New Roman"/>
          <w:color w:val="000000"/>
          <w:sz w:val="17"/>
          <w:lang w:val="hr-HR"/>
        </w:rPr>
        <w:t xml:space="preserve">*Rejtinzi agencije </w:t>
      </w:r>
      <w:r w:rsidR="008863AD">
        <w:rPr>
          <w:rFonts w:eastAsia="Times New Roman"/>
          <w:color w:val="000000"/>
          <w:sz w:val="17"/>
          <w:lang w:val="hr-HR"/>
        </w:rPr>
        <w:t>S</w:t>
      </w:r>
      <w:r w:rsidRPr="006341B4">
        <w:rPr>
          <w:rFonts w:eastAsia="Times New Roman"/>
          <w:color w:val="000000"/>
          <w:sz w:val="17"/>
          <w:lang w:val="hr-HR"/>
        </w:rPr>
        <w:t>&amp;P</w:t>
      </w:r>
      <w:r w:rsidR="008863AD">
        <w:rPr>
          <w:rFonts w:eastAsia="Times New Roman"/>
          <w:color w:val="000000"/>
          <w:sz w:val="17"/>
          <w:lang w:val="hr-HR"/>
        </w:rPr>
        <w:t xml:space="preserve"> Global Ratings</w:t>
      </w:r>
      <w:r w:rsidRPr="006341B4">
        <w:rPr>
          <w:rFonts w:eastAsia="Times New Roman"/>
          <w:color w:val="000000"/>
          <w:sz w:val="17"/>
          <w:lang w:val="hr-HR"/>
        </w:rPr>
        <w:t xml:space="preserve"> za</w:t>
      </w:r>
      <w:r w:rsidR="008863AD">
        <w:rPr>
          <w:rFonts w:eastAsia="Times New Roman"/>
          <w:color w:val="000000"/>
          <w:sz w:val="17"/>
          <w:lang w:val="hr-HR"/>
        </w:rPr>
        <w:t xml:space="preserve"> </w:t>
      </w:r>
      <w:r w:rsidR="008863AD" w:rsidRPr="00CB59AE">
        <w:rPr>
          <w:rFonts w:eastAsia="Times New Roman"/>
          <w:color w:val="000000"/>
          <w:sz w:val="17"/>
          <w:lang w:val="hr-HR"/>
        </w:rPr>
        <w:t>jedinice</w:t>
      </w:r>
      <w:r w:rsidRPr="00CB59AE">
        <w:rPr>
          <w:rFonts w:eastAsia="Times New Roman"/>
          <w:color w:val="000000"/>
          <w:sz w:val="17"/>
          <w:lang w:val="hr-HR"/>
        </w:rPr>
        <w:t xml:space="preserve"> lokalne i </w:t>
      </w:r>
      <w:r w:rsidR="008863AD" w:rsidRPr="00CB59AE">
        <w:rPr>
          <w:rFonts w:eastAsia="Times New Roman"/>
          <w:color w:val="000000"/>
          <w:sz w:val="17"/>
          <w:lang w:val="hr-HR"/>
        </w:rPr>
        <w:t>područne (</w:t>
      </w:r>
      <w:r w:rsidRPr="00CB59AE">
        <w:rPr>
          <w:rFonts w:eastAsia="Times New Roman"/>
          <w:color w:val="000000"/>
          <w:sz w:val="17"/>
          <w:lang w:val="hr-HR"/>
        </w:rPr>
        <w:t>regionalne</w:t>
      </w:r>
      <w:r w:rsidR="008863AD" w:rsidRPr="00CB59AE">
        <w:rPr>
          <w:rFonts w:eastAsia="Times New Roman"/>
          <w:color w:val="000000"/>
          <w:sz w:val="17"/>
          <w:lang w:val="hr-HR"/>
        </w:rPr>
        <w:t>)</w:t>
      </w:r>
      <w:r w:rsidRPr="00CB59AE">
        <w:rPr>
          <w:rFonts w:eastAsia="Times New Roman"/>
          <w:color w:val="000000"/>
          <w:sz w:val="17"/>
          <w:lang w:val="hr-HR"/>
        </w:rPr>
        <w:t xml:space="preserve"> </w:t>
      </w:r>
      <w:r w:rsidR="006341B4" w:rsidRPr="00CB59AE">
        <w:rPr>
          <w:rFonts w:eastAsia="Times New Roman"/>
          <w:color w:val="000000"/>
          <w:sz w:val="17"/>
          <w:lang w:val="hr-HR"/>
        </w:rPr>
        <w:t>samo</w:t>
      </w:r>
      <w:r w:rsidRPr="00CB59AE">
        <w:rPr>
          <w:rFonts w:eastAsia="Times New Roman"/>
          <w:color w:val="000000"/>
          <w:sz w:val="17"/>
          <w:lang w:val="hr-HR"/>
        </w:rPr>
        <w:t>uprave</w:t>
      </w:r>
      <w:r w:rsidRPr="006341B4">
        <w:rPr>
          <w:rFonts w:eastAsia="Times New Roman"/>
          <w:color w:val="000000"/>
          <w:sz w:val="17"/>
          <w:lang w:val="hr-HR"/>
        </w:rPr>
        <w:t xml:space="preserve"> temelje se na osam gore navedenih glavnih faktora rejtinga. U </w:t>
      </w:r>
      <w:r w:rsidR="00631FB5">
        <w:rPr>
          <w:rFonts w:eastAsia="Times New Roman"/>
          <w:color w:val="000000"/>
          <w:sz w:val="17"/>
          <w:lang w:val="hr-HR"/>
        </w:rPr>
        <w:t>Dijelu</w:t>
      </w:r>
      <w:r w:rsidRPr="006341B4">
        <w:rPr>
          <w:rFonts w:eastAsia="Times New Roman"/>
          <w:color w:val="000000"/>
          <w:sz w:val="17"/>
          <w:lang w:val="hr-HR"/>
        </w:rPr>
        <w:t xml:space="preserve"> A „</w:t>
      </w:r>
      <w:r w:rsidRPr="00631FB5">
        <w:rPr>
          <w:rFonts w:eastAsia="Times New Roman"/>
          <w:color w:val="000000"/>
          <w:sz w:val="17"/>
          <w:lang w:val="hr-HR"/>
        </w:rPr>
        <w:t>Metodologije za rejting neameričkih</w:t>
      </w:r>
      <w:r w:rsidR="00631FB5" w:rsidRPr="00631FB5">
        <w:rPr>
          <w:rFonts w:eastAsia="Times New Roman"/>
          <w:color w:val="000000"/>
          <w:sz w:val="17"/>
          <w:lang w:val="hr-HR"/>
        </w:rPr>
        <w:t xml:space="preserve"> jedinica</w:t>
      </w:r>
      <w:r w:rsidRPr="00631FB5">
        <w:rPr>
          <w:rFonts w:eastAsia="Times New Roman"/>
          <w:color w:val="000000"/>
          <w:sz w:val="17"/>
          <w:lang w:val="hr-HR"/>
        </w:rPr>
        <w:t xml:space="preserve"> lokaln</w:t>
      </w:r>
      <w:r w:rsidR="008863AD">
        <w:rPr>
          <w:rFonts w:eastAsia="Times New Roman"/>
          <w:color w:val="000000"/>
          <w:sz w:val="17"/>
          <w:lang w:val="hr-HR"/>
        </w:rPr>
        <w:t>e</w:t>
      </w:r>
      <w:r w:rsidRPr="00631FB5">
        <w:rPr>
          <w:rFonts w:eastAsia="Times New Roman"/>
          <w:color w:val="000000"/>
          <w:sz w:val="17"/>
          <w:lang w:val="hr-HR"/>
        </w:rPr>
        <w:t xml:space="preserve"> </w:t>
      </w:r>
      <w:r w:rsidRPr="009E604E">
        <w:rPr>
          <w:rFonts w:eastAsia="Times New Roman"/>
          <w:color w:val="000000"/>
          <w:sz w:val="17"/>
          <w:lang w:val="hr-HR"/>
        </w:rPr>
        <w:t xml:space="preserve">i </w:t>
      </w:r>
      <w:r w:rsidR="008863AD" w:rsidRPr="009E604E">
        <w:rPr>
          <w:rFonts w:eastAsia="Times New Roman"/>
          <w:color w:val="000000"/>
          <w:sz w:val="17"/>
          <w:lang w:val="hr-HR"/>
        </w:rPr>
        <w:t>područne (regionalne) samo</w:t>
      </w:r>
      <w:r w:rsidRPr="009E604E">
        <w:rPr>
          <w:rFonts w:eastAsia="Times New Roman"/>
          <w:color w:val="000000"/>
          <w:sz w:val="17"/>
          <w:lang w:val="hr-HR"/>
        </w:rPr>
        <w:t>uprav</w:t>
      </w:r>
      <w:r w:rsidR="008863AD" w:rsidRPr="009E604E">
        <w:rPr>
          <w:rFonts w:eastAsia="Times New Roman"/>
          <w:color w:val="000000"/>
          <w:sz w:val="17"/>
          <w:lang w:val="hr-HR"/>
        </w:rPr>
        <w:t>e</w:t>
      </w:r>
      <w:r w:rsidRPr="009E604E">
        <w:rPr>
          <w:rFonts w:eastAsia="Times New Roman"/>
          <w:color w:val="000000"/>
          <w:sz w:val="17"/>
          <w:lang w:val="hr-HR"/>
        </w:rPr>
        <w:t>”</w:t>
      </w:r>
      <w:r w:rsidRPr="006341B4">
        <w:rPr>
          <w:rFonts w:eastAsia="Times New Roman"/>
          <w:color w:val="000000"/>
          <w:sz w:val="17"/>
          <w:lang w:val="hr-HR"/>
        </w:rPr>
        <w:t xml:space="preserve"> </w:t>
      </w:r>
      <w:r w:rsidR="008863AD">
        <w:rPr>
          <w:rFonts w:eastAsia="Times New Roman"/>
          <w:color w:val="000000"/>
          <w:sz w:val="17"/>
          <w:lang w:val="hr-HR"/>
        </w:rPr>
        <w:t>agencije S&amp;P Global Ratings</w:t>
      </w:r>
      <w:r w:rsidR="008863AD" w:rsidRPr="00CD6CA7">
        <w:rPr>
          <w:rFonts w:eastAsia="Times New Roman"/>
          <w:color w:val="000000"/>
          <w:sz w:val="17"/>
          <w:lang w:val="hr-HR"/>
        </w:rPr>
        <w:t xml:space="preserve"> </w:t>
      </w:r>
      <w:r w:rsidRPr="006341B4">
        <w:rPr>
          <w:rFonts w:eastAsia="Times New Roman"/>
          <w:color w:val="000000"/>
          <w:sz w:val="17"/>
          <w:lang w:val="hr-HR"/>
        </w:rPr>
        <w:t xml:space="preserve">sažeto je prikazan način kombiniranja tih osam faktora kako bi se dobio rejting za </w:t>
      </w:r>
      <w:r w:rsidR="006341B4" w:rsidRPr="006341B4">
        <w:rPr>
          <w:rFonts w:eastAsia="Times New Roman"/>
          <w:color w:val="000000"/>
          <w:sz w:val="17"/>
          <w:lang w:val="hr-HR"/>
        </w:rPr>
        <w:t xml:space="preserve">lokalne i </w:t>
      </w:r>
      <w:r w:rsidR="008863AD" w:rsidRPr="009E604E">
        <w:rPr>
          <w:rFonts w:eastAsia="Times New Roman"/>
          <w:color w:val="000000"/>
          <w:sz w:val="17"/>
          <w:lang w:val="hr-HR"/>
        </w:rPr>
        <w:t xml:space="preserve">područne (regionalne) </w:t>
      </w:r>
      <w:r w:rsidR="006341B4" w:rsidRPr="009E604E">
        <w:rPr>
          <w:rFonts w:eastAsia="Times New Roman"/>
          <w:color w:val="000000"/>
          <w:sz w:val="17"/>
          <w:lang w:val="hr-HR"/>
        </w:rPr>
        <w:t xml:space="preserve">samouprave </w:t>
      </w:r>
      <w:r w:rsidRPr="009E604E">
        <w:rPr>
          <w:rFonts w:eastAsia="Times New Roman"/>
          <w:color w:val="000000"/>
          <w:sz w:val="17"/>
          <w:lang w:val="hr-HR"/>
        </w:rPr>
        <w:t>u stranoj</w:t>
      </w:r>
      <w:r w:rsidRPr="006341B4">
        <w:rPr>
          <w:rFonts w:eastAsia="Times New Roman"/>
          <w:color w:val="000000"/>
          <w:sz w:val="17"/>
          <w:lang w:val="hr-HR"/>
        </w:rPr>
        <w:t xml:space="preserve"> valuti.</w:t>
      </w:r>
    </w:p>
    <w:p w:rsidR="00150E69" w:rsidRPr="00CD6CA7" w:rsidRDefault="00150E69">
      <w:pPr>
        <w:spacing w:before="513" w:line="330" w:lineRule="exact"/>
        <w:ind w:left="72"/>
        <w:textAlignment w:val="baseline"/>
        <w:rPr>
          <w:rFonts w:eastAsia="Times New Roman"/>
          <w:b/>
          <w:color w:val="C31E29"/>
          <w:spacing w:val="-1"/>
          <w:sz w:val="29"/>
          <w:lang w:val="hr-HR"/>
        </w:rPr>
      </w:pPr>
      <w:r w:rsidRPr="00CD6CA7">
        <w:rPr>
          <w:rFonts w:eastAsia="Times New Roman"/>
          <w:b/>
          <w:color w:val="C31E29"/>
          <w:spacing w:val="-1"/>
          <w:sz w:val="29"/>
          <w:lang w:val="hr-HR"/>
        </w:rPr>
        <w:t>Ključni statistički podaci za državu</w:t>
      </w:r>
    </w:p>
    <w:p w:rsidR="00150E69" w:rsidRPr="006341B4" w:rsidRDefault="006341B4" w:rsidP="00105E06">
      <w:pPr>
        <w:spacing w:before="240" w:line="260" w:lineRule="exact"/>
        <w:textAlignment w:val="baseline"/>
        <w:rPr>
          <w:rFonts w:ascii="Courier New" w:hAnsi="Courier New"/>
          <w:color w:val="000000"/>
          <w:sz w:val="20"/>
          <w:lang w:val="hr-HR"/>
        </w:rPr>
      </w:pPr>
      <w:r w:rsidRPr="009E604E">
        <w:rPr>
          <w:rFonts w:ascii="Courier New" w:hAnsi="Courier New"/>
          <w:color w:val="000000"/>
          <w:sz w:val="20"/>
          <w:lang w:val="hr-HR"/>
        </w:rPr>
        <w:t xml:space="preserve">Izgledi Hrvatske izmijenjeni u stabilne zbog jačeg rasta i smanjenog fiskalnog </w:t>
      </w:r>
      <w:r w:rsidR="00CB59AE" w:rsidRPr="009E604E">
        <w:rPr>
          <w:rFonts w:ascii="Courier New" w:hAnsi="Courier New"/>
          <w:color w:val="000000"/>
          <w:sz w:val="20"/>
          <w:lang w:val="hr-HR"/>
        </w:rPr>
        <w:t>opterećenja</w:t>
      </w:r>
      <w:r w:rsidRPr="009E604E">
        <w:rPr>
          <w:rFonts w:ascii="Courier New" w:hAnsi="Courier New"/>
          <w:color w:val="000000"/>
          <w:sz w:val="20"/>
          <w:lang w:val="hr-HR"/>
        </w:rPr>
        <w:t>; Potvrđen 'BB/B' rejting</w:t>
      </w:r>
      <w:r w:rsidR="00150E69" w:rsidRPr="009E604E">
        <w:rPr>
          <w:rFonts w:ascii="Courier New" w:hAnsi="Courier New"/>
          <w:color w:val="000000"/>
          <w:sz w:val="20"/>
          <w:lang w:val="hr-HR"/>
        </w:rPr>
        <w:t>, 1</w:t>
      </w:r>
      <w:r w:rsidRPr="009E604E">
        <w:rPr>
          <w:rFonts w:ascii="Courier New" w:hAnsi="Courier New"/>
          <w:color w:val="000000"/>
          <w:sz w:val="20"/>
          <w:lang w:val="hr-HR"/>
        </w:rPr>
        <w:t>6</w:t>
      </w:r>
      <w:r w:rsidR="00150E69" w:rsidRPr="009E604E">
        <w:rPr>
          <w:rFonts w:ascii="Courier New" w:hAnsi="Courier New"/>
          <w:color w:val="000000"/>
          <w:sz w:val="20"/>
          <w:lang w:val="hr-HR"/>
        </w:rPr>
        <w:t xml:space="preserve">. </w:t>
      </w:r>
      <w:r w:rsidRPr="009E604E">
        <w:rPr>
          <w:rFonts w:ascii="Courier New" w:hAnsi="Courier New"/>
          <w:color w:val="000000"/>
          <w:sz w:val="20"/>
          <w:lang w:val="hr-HR"/>
        </w:rPr>
        <w:t>prosinca</w:t>
      </w:r>
      <w:r w:rsidR="00150E69" w:rsidRPr="009E604E">
        <w:rPr>
          <w:rFonts w:ascii="Courier New" w:hAnsi="Courier New"/>
          <w:color w:val="000000"/>
          <w:sz w:val="20"/>
          <w:lang w:val="hr-HR"/>
        </w:rPr>
        <w:t xml:space="preserve"> 2016.</w:t>
      </w:r>
    </w:p>
    <w:p w:rsidR="00150E69" w:rsidRPr="00CD6CA7" w:rsidRDefault="00150E69">
      <w:pPr>
        <w:spacing w:before="328" w:line="330" w:lineRule="exact"/>
        <w:ind w:left="72"/>
        <w:textAlignment w:val="baseline"/>
        <w:rPr>
          <w:rFonts w:eastAsia="Times New Roman"/>
          <w:b/>
          <w:color w:val="C31E29"/>
          <w:spacing w:val="-2"/>
          <w:sz w:val="29"/>
          <w:lang w:val="hr-HR"/>
        </w:rPr>
      </w:pPr>
      <w:r w:rsidRPr="00CD6CA7">
        <w:rPr>
          <w:rFonts w:eastAsia="Times New Roman"/>
          <w:b/>
          <w:color w:val="C31E29"/>
          <w:spacing w:val="-2"/>
          <w:sz w:val="29"/>
          <w:lang w:val="hr-HR"/>
        </w:rPr>
        <w:t>Povezani kriteriji i istraživanja</w:t>
      </w:r>
    </w:p>
    <w:p w:rsidR="00150E69" w:rsidRPr="00CD6CA7" w:rsidRDefault="00150E69">
      <w:pPr>
        <w:spacing w:before="170" w:line="245" w:lineRule="exact"/>
        <w:ind w:left="72"/>
        <w:textAlignment w:val="baseline"/>
        <w:rPr>
          <w:rFonts w:ascii="Bookman Old Style" w:hAnsi="Bookman Old Style"/>
          <w:b/>
          <w:color w:val="000000"/>
          <w:spacing w:val="-8"/>
          <w:sz w:val="20"/>
          <w:lang w:val="hr-HR"/>
        </w:rPr>
      </w:pPr>
      <w:r w:rsidRPr="00CD6CA7">
        <w:rPr>
          <w:rFonts w:ascii="Bookman Old Style" w:hAnsi="Bookman Old Style"/>
          <w:b/>
          <w:color w:val="000000"/>
          <w:spacing w:val="-8"/>
          <w:sz w:val="20"/>
          <w:lang w:val="hr-HR"/>
        </w:rPr>
        <w:t>Povezani kriteriji</w:t>
      </w:r>
    </w:p>
    <w:p w:rsidR="00150E69" w:rsidRPr="009E604E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35" w:line="221" w:lineRule="exact"/>
        <w:ind w:left="288" w:right="216" w:hanging="216"/>
        <w:textAlignment w:val="baseline"/>
        <w:rPr>
          <w:rFonts w:ascii="Courier New" w:hAnsi="Courier New" w:cs="Courier New"/>
          <w:color w:val="000000"/>
          <w:spacing w:val="14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Kriteriji - uprave- međunarodne javne financije: Metodologija: </w:t>
      </w:r>
      <w:r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Rejting neameričkih </w:t>
      </w:r>
      <w:r w:rsidR="00631FB5"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jedinica </w:t>
      </w:r>
      <w:r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lokalne i </w:t>
      </w:r>
      <w:r w:rsidR="00497027"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>područne (</w:t>
      </w:r>
      <w:r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>regionalne</w:t>
      </w:r>
      <w:r w:rsidR="00497027"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>)</w:t>
      </w:r>
      <w:r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 </w:t>
      </w:r>
      <w:r w:rsidR="00497027"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>samo</w:t>
      </w:r>
      <w:r w:rsidR="0090769F"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>uprave iznad državog rejtinga</w:t>
      </w:r>
      <w:r w:rsidRPr="009E604E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 - 15. prosinca 2014.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91" w:line="221" w:lineRule="exact"/>
        <w:ind w:left="288" w:right="72" w:hanging="216"/>
        <w:textAlignment w:val="baseline"/>
        <w:rPr>
          <w:rFonts w:ascii="Courier New" w:hAnsi="Courier New" w:cs="Courier New"/>
          <w:color w:val="000000"/>
          <w:spacing w:val="14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>Kriteriji - uprave- međunarodne javne financije: Metodologija za rejting neameričkih jedinica lokalne i regionalne uprave – 30. lipnja 2014.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91" w:line="221" w:lineRule="exact"/>
        <w:ind w:left="288" w:right="360" w:hanging="216"/>
        <w:textAlignment w:val="baseline"/>
        <w:rPr>
          <w:rFonts w:ascii="Courier New" w:hAnsi="Courier New" w:cs="Courier New"/>
          <w:color w:val="000000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>Opći kriteriji: Rejtin</w:t>
      </w:r>
      <w:r w:rsidR="00044C20">
        <w:rPr>
          <w:rFonts w:ascii="Courier New" w:hAnsi="Courier New" w:cs="Courier New"/>
          <w:color w:val="000000"/>
          <w:spacing w:val="14"/>
          <w:sz w:val="20"/>
          <w:lang w:val="hr-HR"/>
        </w:rPr>
        <w:t>zi</w:t>
      </w: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 iznad državnog -- rejtinzi korporacija i uprava:</w:t>
      </w:r>
      <w:r w:rsidRPr="006341B4">
        <w:rPr>
          <w:rFonts w:ascii="Courier New" w:hAnsi="Courier New" w:cs="Courier New"/>
          <w:color w:val="231F20"/>
          <w:lang w:val="hr-HR"/>
        </w:rPr>
        <w:t xml:space="preserve"> </w:t>
      </w: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>Metodologija i pretpostavke - 19. studenog 2013.</w:t>
      </w:r>
    </w:p>
    <w:p w:rsidR="00150E69" w:rsidRPr="009E604E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90" w:line="221" w:lineRule="exact"/>
        <w:ind w:left="288" w:right="72" w:hanging="216"/>
        <w:textAlignment w:val="baseline"/>
        <w:rPr>
          <w:rFonts w:ascii="Courier New" w:hAnsi="Courier New" w:cs="Courier New"/>
          <w:color w:val="000000"/>
          <w:spacing w:val="15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5"/>
          <w:sz w:val="20"/>
          <w:lang w:val="hr-HR"/>
        </w:rPr>
        <w:t xml:space="preserve">Kriteriji - uprave – međunarodne javne financije: Metodologija i pretpostavke za analizu likvidnosti neameričkih jedinica lokalne i regionalne uprave i povezanih subjekata te za rejting njihovih </w:t>
      </w:r>
      <w:r w:rsidR="00631FB5" w:rsidRPr="009E604E">
        <w:rPr>
          <w:rFonts w:ascii="Courier New" w:hAnsi="Courier New" w:cs="Courier New"/>
          <w:color w:val="000000"/>
          <w:spacing w:val="15"/>
          <w:sz w:val="20"/>
          <w:lang w:val="hr-HR"/>
        </w:rPr>
        <w:t>programa komercijalnih papira</w:t>
      </w:r>
      <w:r w:rsidRPr="009E604E">
        <w:rPr>
          <w:rFonts w:ascii="Courier New" w:hAnsi="Courier New" w:cs="Courier New"/>
          <w:color w:val="000000"/>
          <w:spacing w:val="15"/>
          <w:sz w:val="20"/>
          <w:lang w:val="hr-HR"/>
        </w:rPr>
        <w:t>– 15. listopada 2009.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line="393" w:lineRule="exact"/>
        <w:ind w:left="288" w:right="1512" w:hanging="216"/>
        <w:textAlignment w:val="baseline"/>
        <w:rPr>
          <w:rFonts w:ascii="Courier New" w:hAnsi="Courier New" w:cs="Courier New"/>
          <w:color w:val="000000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Opći kriteriji: Korištenje </w:t>
      </w:r>
      <w:r w:rsidR="007D669F">
        <w:rPr>
          <w:rFonts w:ascii="Courier New" w:hAnsi="Courier New" w:cs="Courier New"/>
          <w:color w:val="000000"/>
          <w:sz w:val="20"/>
          <w:lang w:val="hr-HR"/>
        </w:rPr>
        <w:t xml:space="preserve">rejtinga </w:t>
      </w:r>
      <w:r w:rsidRPr="007D669F">
        <w:rPr>
          <w:rFonts w:ascii="Courier New" w:hAnsi="Courier New" w:cs="Courier New"/>
          <w:color w:val="000000"/>
          <w:sz w:val="20"/>
          <w:lang w:val="hr-HR"/>
        </w:rPr>
        <w:t>CreditWatch i Outlooks</w:t>
      </w:r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 – 14. rujna 2009.</w:t>
      </w:r>
    </w:p>
    <w:p w:rsidR="00150E69" w:rsidRPr="00CD6CA7" w:rsidRDefault="00150E69" w:rsidP="00856F81">
      <w:pPr>
        <w:tabs>
          <w:tab w:val="left" w:pos="216"/>
          <w:tab w:val="left" w:pos="288"/>
        </w:tabs>
        <w:spacing w:line="393" w:lineRule="exact"/>
        <w:ind w:left="72" w:right="1512"/>
        <w:textAlignment w:val="baseline"/>
        <w:rPr>
          <w:rFonts w:ascii="Bookman Old Style" w:hAnsi="Bookman Old Style"/>
          <w:color w:val="000000"/>
          <w:sz w:val="20"/>
          <w:lang w:val="hr-HR"/>
        </w:rPr>
      </w:pPr>
      <w:r w:rsidRPr="00CD6CA7">
        <w:rPr>
          <w:rFonts w:ascii="Bookman Old Style" w:hAnsi="Bookman Old Style"/>
          <w:b/>
          <w:color w:val="000000"/>
          <w:sz w:val="20"/>
          <w:lang w:val="hr-HR"/>
        </w:rPr>
        <w:t>Povezana istraživanja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35" w:line="221" w:lineRule="exact"/>
        <w:ind w:left="288" w:right="360" w:hanging="216"/>
        <w:textAlignment w:val="baseline"/>
        <w:rPr>
          <w:rFonts w:ascii="Courier New" w:hAnsi="Courier New" w:cs="Courier New"/>
          <w:color w:val="000000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Pokazatelji državnog rizika, </w:t>
      </w:r>
      <w:r w:rsidR="007D669F">
        <w:rPr>
          <w:rFonts w:ascii="Courier New" w:hAnsi="Courier New" w:cs="Courier New"/>
          <w:color w:val="000000"/>
          <w:sz w:val="20"/>
          <w:lang w:val="hr-HR"/>
        </w:rPr>
        <w:t>14</w:t>
      </w:r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. </w:t>
      </w:r>
      <w:r w:rsidR="007D669F">
        <w:rPr>
          <w:rFonts w:ascii="Courier New" w:hAnsi="Courier New" w:cs="Courier New"/>
          <w:color w:val="000000"/>
          <w:sz w:val="20"/>
          <w:lang w:val="hr-HR"/>
        </w:rPr>
        <w:t>prosinca</w:t>
      </w:r>
      <w:r w:rsidRPr="006341B4">
        <w:rPr>
          <w:rFonts w:ascii="Courier New" w:hAnsi="Courier New" w:cs="Courier New"/>
          <w:color w:val="000000"/>
          <w:sz w:val="20"/>
          <w:lang w:val="hr-HR"/>
        </w:rPr>
        <w:t>, 201</w:t>
      </w:r>
      <w:r w:rsidR="007D669F">
        <w:rPr>
          <w:rFonts w:ascii="Courier New" w:hAnsi="Courier New" w:cs="Courier New"/>
          <w:color w:val="000000"/>
          <w:sz w:val="20"/>
          <w:lang w:val="hr-HR"/>
        </w:rPr>
        <w:t>6</w:t>
      </w:r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. Interaktivna verzija dostupna je na </w:t>
      </w:r>
      <w:hyperlink r:id="rId14">
        <w:r w:rsidRPr="006341B4">
          <w:rPr>
            <w:rFonts w:ascii="Courier New" w:hAnsi="Courier New" w:cs="Courier New"/>
            <w:color w:val="0000FF"/>
            <w:sz w:val="20"/>
            <w:u w:val="single"/>
            <w:lang w:val="hr-HR"/>
          </w:rPr>
          <w:t>http://www.spratings.com/SRI</w:t>
        </w:r>
      </w:hyperlink>
      <w:r w:rsidRPr="006341B4">
        <w:rPr>
          <w:rFonts w:ascii="Courier New" w:hAnsi="Courier New" w:cs="Courier New"/>
          <w:color w:val="000000"/>
          <w:sz w:val="20"/>
          <w:lang w:val="hr-HR"/>
        </w:rPr>
        <w:t xml:space="preserve"> </w:t>
      </w:r>
    </w:p>
    <w:p w:rsidR="00294412" w:rsidRPr="009E604E" w:rsidRDefault="00294412">
      <w:pPr>
        <w:numPr>
          <w:ilvl w:val="0"/>
          <w:numId w:val="2"/>
        </w:numPr>
        <w:tabs>
          <w:tab w:val="clear" w:pos="216"/>
          <w:tab w:val="left" w:pos="288"/>
        </w:tabs>
        <w:spacing w:before="91" w:line="221" w:lineRule="exact"/>
        <w:ind w:left="288" w:right="216" w:hanging="216"/>
        <w:textAlignment w:val="baseline"/>
        <w:rPr>
          <w:rFonts w:ascii="Courier New" w:hAnsi="Courier New" w:cs="Courier New"/>
          <w:color w:val="000000"/>
          <w:sz w:val="20"/>
          <w:lang w:val="hr-HR"/>
        </w:rPr>
      </w:pPr>
      <w:r w:rsidRPr="009E604E">
        <w:rPr>
          <w:rFonts w:ascii="Courier New" w:hAnsi="Courier New" w:cs="Courier New"/>
          <w:color w:val="000000"/>
          <w:sz w:val="20"/>
          <w:lang w:val="hr-HR"/>
        </w:rPr>
        <w:t>Bivše jugoslavenske republike 25 godine nakon pada Jugoslavije. Gdje su sada? 14. studenog 2016.</w:t>
      </w:r>
    </w:p>
    <w:p w:rsidR="00150E69" w:rsidRPr="009E604E" w:rsidRDefault="00723CAB">
      <w:pPr>
        <w:numPr>
          <w:ilvl w:val="0"/>
          <w:numId w:val="2"/>
        </w:numPr>
        <w:tabs>
          <w:tab w:val="clear" w:pos="216"/>
          <w:tab w:val="left" w:pos="288"/>
        </w:tabs>
        <w:spacing w:before="91" w:line="221" w:lineRule="exact"/>
        <w:ind w:left="288" w:right="216" w:hanging="216"/>
        <w:textAlignment w:val="baseline"/>
        <w:rPr>
          <w:rFonts w:ascii="Courier New" w:hAnsi="Courier New" w:cs="Courier New"/>
          <w:color w:val="000000"/>
          <w:sz w:val="20"/>
          <w:lang w:val="hr-HR"/>
        </w:rPr>
      </w:pPr>
      <w:r w:rsidRPr="009E604E">
        <w:rPr>
          <w:rFonts w:ascii="Courier New" w:hAnsi="Courier New" w:cs="Courier New"/>
          <w:color w:val="000000"/>
          <w:sz w:val="20"/>
          <w:lang w:val="hr-HR"/>
        </w:rPr>
        <w:t xml:space="preserve">Godišnja </w:t>
      </w:r>
      <w:r w:rsidR="00294412" w:rsidRPr="009E604E">
        <w:rPr>
          <w:rFonts w:ascii="Courier New" w:hAnsi="Courier New" w:cs="Courier New"/>
          <w:color w:val="000000"/>
          <w:sz w:val="20"/>
          <w:lang w:val="hr-HR"/>
        </w:rPr>
        <w:t xml:space="preserve">studija </w:t>
      </w:r>
      <w:r w:rsidR="00817D34" w:rsidRPr="009E604E">
        <w:rPr>
          <w:rFonts w:ascii="Courier New" w:hAnsi="Courier New" w:cs="Courier New"/>
          <w:color w:val="000000"/>
          <w:sz w:val="20"/>
          <w:lang w:val="hr-HR"/>
        </w:rPr>
        <w:t>neispunjenja obveza</w:t>
      </w:r>
      <w:r w:rsidR="00105E06" w:rsidRPr="009E604E">
        <w:rPr>
          <w:rFonts w:ascii="Courier New" w:hAnsi="Courier New" w:cs="Courier New"/>
          <w:color w:val="000000"/>
          <w:sz w:val="20"/>
          <w:lang w:val="hr-HR"/>
        </w:rPr>
        <w:t xml:space="preserve"> u međunarodnim javnim</w:t>
      </w:r>
      <w:r w:rsidR="00294412" w:rsidRPr="009E604E">
        <w:rPr>
          <w:rFonts w:ascii="Courier New" w:hAnsi="Courier New" w:cs="Courier New"/>
          <w:color w:val="000000"/>
          <w:sz w:val="20"/>
          <w:lang w:val="hr-HR"/>
        </w:rPr>
        <w:t xml:space="preserve"> financija</w:t>
      </w:r>
      <w:r w:rsidR="00105E06" w:rsidRPr="009E604E">
        <w:rPr>
          <w:rFonts w:ascii="Courier New" w:hAnsi="Courier New" w:cs="Courier New"/>
          <w:color w:val="000000"/>
          <w:sz w:val="20"/>
          <w:lang w:val="hr-HR"/>
        </w:rPr>
        <w:t>ma</w:t>
      </w:r>
      <w:r w:rsidR="00294412" w:rsidRPr="009E604E">
        <w:rPr>
          <w:rFonts w:ascii="Courier New" w:hAnsi="Courier New" w:cs="Courier New"/>
          <w:color w:val="000000"/>
          <w:sz w:val="20"/>
          <w:lang w:val="hr-HR"/>
        </w:rPr>
        <w:t xml:space="preserve"> </w:t>
      </w:r>
      <w:r w:rsidRPr="009E604E">
        <w:rPr>
          <w:rFonts w:ascii="Courier New" w:hAnsi="Courier New" w:cs="Courier New"/>
          <w:color w:val="000000"/>
          <w:sz w:val="20"/>
          <w:lang w:val="hr-HR"/>
        </w:rPr>
        <w:t xml:space="preserve">i </w:t>
      </w:r>
      <w:r w:rsidR="00817D34" w:rsidRPr="009E604E">
        <w:rPr>
          <w:rFonts w:ascii="Courier New" w:hAnsi="Courier New" w:cs="Courier New"/>
          <w:color w:val="000000"/>
          <w:sz w:val="20"/>
          <w:lang w:val="hr-HR"/>
        </w:rPr>
        <w:t>promjena</w:t>
      </w:r>
      <w:r w:rsidRPr="009E604E">
        <w:rPr>
          <w:rFonts w:ascii="Courier New" w:hAnsi="Courier New" w:cs="Courier New"/>
          <w:color w:val="000000"/>
          <w:sz w:val="20"/>
          <w:lang w:val="hr-HR"/>
        </w:rPr>
        <w:t xml:space="preserve"> rejtinga</w:t>
      </w:r>
      <w:r w:rsidR="006B6EF7" w:rsidRPr="009E604E">
        <w:rPr>
          <w:rFonts w:ascii="Courier New" w:hAnsi="Courier New" w:cs="Courier New"/>
          <w:color w:val="000000"/>
          <w:sz w:val="20"/>
          <w:lang w:val="hr-HR"/>
        </w:rPr>
        <w:t xml:space="preserve"> za 2015. godinu – 30. lipnja 2016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91" w:line="221" w:lineRule="exact"/>
        <w:ind w:left="288" w:hanging="216"/>
        <w:textAlignment w:val="baseline"/>
        <w:rPr>
          <w:rFonts w:ascii="Courier New" w:hAnsi="Courier New" w:cs="Courier New"/>
          <w:color w:val="000000"/>
          <w:spacing w:val="16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6"/>
          <w:sz w:val="20"/>
          <w:lang w:val="hr-HR"/>
        </w:rPr>
        <w:t>Pregled sustava javnih financija: Hrvatske općine, 7. svibnja 2015.</w:t>
      </w:r>
    </w:p>
    <w:p w:rsidR="00150E69" w:rsidRPr="006341B4" w:rsidRDefault="00150E69">
      <w:pPr>
        <w:numPr>
          <w:ilvl w:val="0"/>
          <w:numId w:val="2"/>
        </w:numPr>
        <w:tabs>
          <w:tab w:val="clear" w:pos="216"/>
          <w:tab w:val="left" w:pos="288"/>
        </w:tabs>
        <w:spacing w:before="95" w:line="221" w:lineRule="exact"/>
        <w:ind w:left="288" w:hanging="216"/>
        <w:textAlignment w:val="baseline"/>
        <w:rPr>
          <w:rFonts w:ascii="Courier New" w:hAnsi="Courier New" w:cs="Courier New"/>
          <w:color w:val="000000"/>
          <w:spacing w:val="14"/>
          <w:sz w:val="20"/>
          <w:lang w:val="hr-HR"/>
        </w:rPr>
      </w:pP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>Procjena rizika za bankarsku industriju zemlje: Hrvatska, 2</w:t>
      </w:r>
      <w:r w:rsidR="00723CAB">
        <w:rPr>
          <w:rFonts w:ascii="Courier New" w:hAnsi="Courier New" w:cs="Courier New"/>
          <w:color w:val="000000"/>
          <w:spacing w:val="14"/>
          <w:sz w:val="20"/>
          <w:lang w:val="hr-HR"/>
        </w:rPr>
        <w:t>2</w:t>
      </w: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 xml:space="preserve">. </w:t>
      </w:r>
      <w:r w:rsidR="00723CAB">
        <w:rPr>
          <w:rFonts w:ascii="Courier New" w:hAnsi="Courier New" w:cs="Courier New"/>
          <w:color w:val="000000"/>
          <w:spacing w:val="14"/>
          <w:sz w:val="20"/>
          <w:lang w:val="hr-HR"/>
        </w:rPr>
        <w:t>listopada 2015</w:t>
      </w:r>
      <w:r w:rsidRPr="006341B4">
        <w:rPr>
          <w:rFonts w:ascii="Courier New" w:hAnsi="Courier New" w:cs="Courier New"/>
          <w:color w:val="000000"/>
          <w:spacing w:val="14"/>
          <w:sz w:val="20"/>
          <w:lang w:val="hr-HR"/>
        </w:rPr>
        <w:t>.</w:t>
      </w:r>
    </w:p>
    <w:p w:rsidR="00150E69" w:rsidRPr="00CD6CA7" w:rsidRDefault="008846BB" w:rsidP="00235E52">
      <w:pPr>
        <w:tabs>
          <w:tab w:val="left" w:pos="288"/>
        </w:tabs>
        <w:spacing w:before="91" w:line="221" w:lineRule="exact"/>
        <w:ind w:left="72" w:right="177"/>
        <w:textAlignment w:val="baseline"/>
        <w:rPr>
          <w:rFonts w:ascii="Bookman Old Style" w:hAnsi="Bookman Old Style"/>
          <w:color w:val="000000"/>
          <w:spacing w:val="15"/>
          <w:sz w:val="20"/>
          <w:lang w:val="hr-HR"/>
        </w:rPr>
      </w:pPr>
      <w:hyperlink r:id="rId15">
        <w:r w:rsidR="00150E69" w:rsidRPr="00CD6CA7">
          <w:rPr>
            <w:rFonts w:eastAsia="Times New Roman"/>
            <w:b/>
            <w:color w:val="0000FF"/>
            <w:sz w:val="16"/>
            <w:u w:val="single"/>
            <w:lang w:val="hr-HR"/>
          </w:rPr>
          <w:t>WWW.STANDARDANDPOORS.COM/RATINGSDIRECT</w:t>
        </w:r>
      </w:hyperlink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235E52">
        <w:rPr>
          <w:rFonts w:eastAsia="Times New Roman"/>
          <w:b/>
          <w:color w:val="000000"/>
          <w:sz w:val="16"/>
          <w:lang w:val="hr-HR"/>
        </w:rPr>
        <w:tab/>
      </w:r>
      <w:r w:rsidR="009E604E">
        <w:rPr>
          <w:rFonts w:eastAsia="Times New Roman"/>
          <w:b/>
          <w:color w:val="000000"/>
          <w:sz w:val="16"/>
          <w:lang w:val="hr-HR"/>
        </w:rPr>
        <w:t>22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. </w:t>
      </w:r>
      <w:r w:rsidR="00235E52">
        <w:rPr>
          <w:rFonts w:eastAsia="Times New Roman"/>
          <w:b/>
          <w:color w:val="000000"/>
          <w:sz w:val="17"/>
          <w:lang w:val="hr-HR"/>
        </w:rPr>
        <w:t>prosinca</w:t>
      </w:r>
      <w:r w:rsidR="00235E52" w:rsidRPr="00CD6CA7">
        <w:rPr>
          <w:rFonts w:eastAsia="Times New Roman"/>
          <w:b/>
          <w:color w:val="000000"/>
          <w:sz w:val="17"/>
          <w:lang w:val="hr-HR"/>
        </w:rPr>
        <w:t xml:space="preserve"> 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2016. </w:t>
      </w:r>
      <w:r w:rsidR="003C2280">
        <w:rPr>
          <w:rFonts w:eastAsia="Times New Roman"/>
          <w:b/>
          <w:color w:val="000000"/>
          <w:sz w:val="16"/>
          <w:lang w:val="hr-HR"/>
        </w:rPr>
        <w:t>5</w:t>
      </w:r>
    </w:p>
    <w:p w:rsidR="00150E69" w:rsidRPr="00CD6CA7" w:rsidRDefault="009E604E">
      <w:pPr>
        <w:spacing w:before="74" w:line="182" w:lineRule="exact"/>
        <w:ind w:left="72"/>
        <w:jc w:val="right"/>
        <w:textAlignment w:val="baseline"/>
        <w:rPr>
          <w:rFonts w:eastAsia="Times New Roman"/>
          <w:color w:val="B2AEB4"/>
          <w:sz w:val="17"/>
          <w:lang w:val="hr-HR"/>
        </w:rPr>
      </w:pPr>
      <w:r>
        <w:rPr>
          <w:rFonts w:eastAsia="Times New Roman"/>
          <w:color w:val="B2AEB4"/>
          <w:sz w:val="17"/>
          <w:lang w:val="hr-HR"/>
        </w:rPr>
        <w:t>1778053</w:t>
      </w:r>
      <w:r w:rsidR="00150E69" w:rsidRPr="00CD6CA7">
        <w:rPr>
          <w:rFonts w:eastAsia="Times New Roman"/>
          <w:color w:val="B2AEB4"/>
          <w:sz w:val="17"/>
          <w:lang w:val="hr-HR"/>
        </w:rPr>
        <w:t xml:space="preserve"> | </w:t>
      </w:r>
      <w:r>
        <w:rPr>
          <w:rFonts w:eastAsia="Times New Roman"/>
          <w:color w:val="B2AEB4"/>
          <w:sz w:val="17"/>
          <w:lang w:val="hr-HR"/>
        </w:rPr>
        <w:t>300303550</w:t>
      </w:r>
    </w:p>
    <w:p w:rsidR="00150E69" w:rsidRPr="00CD6CA7" w:rsidRDefault="00150E69">
      <w:pPr>
        <w:rPr>
          <w:lang w:val="hr-HR"/>
        </w:rPr>
        <w:sectPr w:rsidR="00150E69" w:rsidRPr="00CD6CA7">
          <w:pgSz w:w="12240" w:h="15840"/>
          <w:pgMar w:top="740" w:right="1063" w:bottom="260" w:left="1077" w:header="720" w:footer="720" w:gutter="0"/>
          <w:cols w:space="720"/>
        </w:sectPr>
      </w:pPr>
    </w:p>
    <w:p w:rsidR="00150E69" w:rsidRPr="00CD6CA7" w:rsidRDefault="00020FF6">
      <w:pPr>
        <w:spacing w:before="5" w:line="225" w:lineRule="exact"/>
        <w:jc w:val="right"/>
        <w:textAlignment w:val="baseline"/>
        <w:rPr>
          <w:rFonts w:eastAsia="Times New Roman"/>
          <w:i/>
          <w:color w:val="000000"/>
          <w:spacing w:val="3"/>
          <w:sz w:val="19"/>
          <w:lang w:val="hr-HR"/>
        </w:rPr>
      </w:pP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lastRenderedPageBreak/>
        <w:t xml:space="preserve">Ažurirano istraživanje: </w:t>
      </w:r>
      <w:r>
        <w:rPr>
          <w:rFonts w:eastAsia="Times New Roman"/>
          <w:i/>
          <w:color w:val="000000"/>
          <w:spacing w:val="-5"/>
          <w:sz w:val="21"/>
          <w:lang w:val="hr-HR"/>
        </w:rPr>
        <w:t>Izgledi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Zagreba, glavnog grada Hrvatske,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promijenjeni u stabilne nakon slične izmjene rejtinga Hrvatska; P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>otvrđen</w:t>
      </w:r>
      <w:r>
        <w:rPr>
          <w:rFonts w:eastAsia="Times New Roman"/>
          <w:i/>
          <w:color w:val="000000"/>
          <w:spacing w:val="-5"/>
          <w:sz w:val="21"/>
          <w:lang w:val="hr-HR"/>
        </w:rPr>
        <w:t xml:space="preserve"> rejting na</w:t>
      </w:r>
      <w:r w:rsidRPr="00CD6CA7">
        <w:rPr>
          <w:rFonts w:eastAsia="Times New Roman"/>
          <w:i/>
          <w:color w:val="000000"/>
          <w:spacing w:val="-5"/>
          <w:sz w:val="21"/>
          <w:lang w:val="hr-HR"/>
        </w:rPr>
        <w:t xml:space="preserve"> 'BB'</w:t>
      </w:r>
    </w:p>
    <w:p w:rsidR="00150E69" w:rsidRPr="00CD6CA7" w:rsidRDefault="00150E69">
      <w:pPr>
        <w:spacing w:before="376" w:line="260" w:lineRule="exact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U skladu s našim relevantnim politikama i procedurama, Odbor za rejting se sastojao od analitičara kvalificiranih za glasanje u odboru, s dostatnim iskustvom da </w:t>
      </w:r>
      <w:r w:rsidR="00817D34">
        <w:rPr>
          <w:rFonts w:ascii="Courier New" w:hAnsi="Courier New"/>
          <w:color w:val="000000"/>
          <w:spacing w:val="-7"/>
          <w:sz w:val="21"/>
          <w:lang w:val="hr-HR"/>
        </w:rPr>
        <w:t>pokažu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prikladnu razinu znanja i razumijevanja </w:t>
      </w:r>
      <w:r w:rsidR="00817D34">
        <w:rPr>
          <w:rFonts w:ascii="Courier New" w:hAnsi="Courier New"/>
          <w:color w:val="000000"/>
          <w:spacing w:val="-7"/>
          <w:sz w:val="21"/>
          <w:lang w:val="hr-HR"/>
        </w:rPr>
        <w:t>vezano uz važeću</w:t>
      </w:r>
      <w:r w:rsidR="00105E06">
        <w:rPr>
          <w:rFonts w:ascii="Courier New" w:hAnsi="Courier New"/>
          <w:color w:val="000000"/>
          <w:spacing w:val="-7"/>
          <w:sz w:val="21"/>
          <w:lang w:val="hr-HR"/>
        </w:rPr>
        <w:t xml:space="preserve"> metodologij</w:t>
      </w:r>
      <w:r w:rsidR="00817D34">
        <w:rPr>
          <w:rFonts w:ascii="Courier New" w:hAnsi="Courier New"/>
          <w:color w:val="000000"/>
          <w:spacing w:val="-7"/>
          <w:sz w:val="21"/>
          <w:lang w:val="hr-HR"/>
        </w:rPr>
        <w:t>u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(</w:t>
      </w:r>
      <w:r w:rsidR="00105E06">
        <w:rPr>
          <w:rFonts w:ascii="Courier New" w:hAnsi="Courier New"/>
          <w:color w:val="000000"/>
          <w:spacing w:val="-7"/>
          <w:sz w:val="21"/>
          <w:lang w:val="hr-HR"/>
        </w:rPr>
        <w:t>vidi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„Povezani kriteriji i istraživanja”). Na početku sastanka odbora, predsjedavajući je potvrdio da su informacije koje je Odbor za rejting dobio od primarnog analitičara pravovremeno distribuirane i dostatne da članovi Odbora donesu informiranu odluku. </w:t>
      </w:r>
    </w:p>
    <w:p w:rsidR="00150E69" w:rsidRPr="00CD6CA7" w:rsidRDefault="00150E69">
      <w:pPr>
        <w:spacing w:before="282" w:line="254" w:lineRule="exact"/>
        <w:textAlignment w:val="baseline"/>
        <w:rPr>
          <w:color w:val="231F20"/>
          <w:lang w:val="hr-HR"/>
        </w:rPr>
      </w:pP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>Nakon što je primarni analitičar dao početne napomene i objasnio preporuku, Odbor je raspravljao o ključnim faktorima rejtinga i ključnim pitanjima u skladu s relevantnim kriterijima. Razmatralo se i raspravljalo o kvalitativnim i kvantitativnim čimbenicima rizika, uz razmatranje dosadašnjih rezultata i prognoza.</w:t>
      </w:r>
    </w:p>
    <w:p w:rsidR="00150E69" w:rsidRPr="00CD6CA7" w:rsidRDefault="00150E69">
      <w:pPr>
        <w:spacing w:before="254" w:line="264" w:lineRule="exact"/>
        <w:ind w:right="504"/>
        <w:textAlignment w:val="baseline"/>
        <w:rPr>
          <w:rFonts w:ascii="Courier New" w:hAnsi="Courier New"/>
          <w:color w:val="000000"/>
          <w:sz w:val="21"/>
          <w:lang w:val="hr-HR"/>
        </w:rPr>
      </w:pPr>
      <w:r w:rsidRPr="00CD6CA7">
        <w:rPr>
          <w:rFonts w:ascii="Courier New" w:hAnsi="Courier New"/>
          <w:color w:val="000000"/>
          <w:spacing w:val="-8"/>
          <w:sz w:val="21"/>
          <w:lang w:val="hr-HR"/>
        </w:rPr>
        <w:t xml:space="preserve">Procjena odbora vezana za ključne faktore rejtinga prikazana je </w:t>
      </w:r>
      <w:r w:rsidR="00817D34">
        <w:rPr>
          <w:rFonts w:ascii="Courier New" w:hAnsi="Courier New"/>
          <w:color w:val="000000"/>
          <w:spacing w:val="-8"/>
          <w:sz w:val="21"/>
          <w:lang w:val="hr-HR"/>
        </w:rPr>
        <w:t xml:space="preserve">u </w:t>
      </w:r>
      <w:r w:rsidRPr="00CD6CA7">
        <w:rPr>
          <w:rFonts w:ascii="Courier New" w:hAnsi="Courier New"/>
          <w:color w:val="000000"/>
          <w:spacing w:val="-8"/>
          <w:sz w:val="21"/>
          <w:lang w:val="hr-HR"/>
        </w:rPr>
        <w:t xml:space="preserve">prethodnom odjeljku Prikaz rezultata rejtinga. </w:t>
      </w:r>
    </w:p>
    <w:p w:rsidR="009E604E" w:rsidRDefault="00150E69">
      <w:pPr>
        <w:spacing w:before="253" w:line="260" w:lineRule="exact"/>
        <w:ind w:right="360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Predsjedavajući je </w:t>
      </w:r>
      <w:r w:rsidR="00FD6E51">
        <w:rPr>
          <w:rFonts w:ascii="Courier New" w:hAnsi="Courier New"/>
          <w:color w:val="000000"/>
          <w:spacing w:val="-7"/>
          <w:sz w:val="21"/>
          <w:lang w:val="hr-HR"/>
        </w:rPr>
        <w:t>omogućio svakom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član</w:t>
      </w:r>
      <w:r w:rsidR="00FD6E51">
        <w:rPr>
          <w:rFonts w:ascii="Courier New" w:hAnsi="Courier New"/>
          <w:color w:val="000000"/>
          <w:spacing w:val="-7"/>
          <w:sz w:val="21"/>
          <w:lang w:val="hr-HR"/>
        </w:rPr>
        <w:t>u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s pravom glasa priliku </w:t>
      </w:r>
      <w:r w:rsidR="00FD6E51">
        <w:rPr>
          <w:rFonts w:ascii="Courier New" w:hAnsi="Courier New"/>
          <w:color w:val="000000"/>
          <w:spacing w:val="-7"/>
          <w:sz w:val="21"/>
          <w:lang w:val="hr-HR"/>
        </w:rPr>
        <w:t>da izrazi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svoje mišljenje. Predsjedavajući ili imenovana osoba pregledali su nacrt izvješća kako bi se osigurala dosljednost s odlukom Odbora. Mišljenja i odluka odbora za rejting sažeto su prikazani u prethodno navedenom obrazloženju i izgledima. Ponderiranje svih faktora rejtinga opisano je u metodologiji koja se koristila u izradi ovog rejtinga (</w:t>
      </w:r>
      <w:r w:rsidR="00105E06">
        <w:rPr>
          <w:rFonts w:ascii="Courier New" w:hAnsi="Courier New"/>
          <w:color w:val="000000"/>
          <w:spacing w:val="-7"/>
          <w:sz w:val="21"/>
          <w:lang w:val="hr-HR"/>
        </w:rPr>
        <w:t>vidi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„Povezani kriteriji i istraživanja”).</w:t>
      </w:r>
    </w:p>
    <w:p w:rsidR="00150E69" w:rsidRPr="009E604E" w:rsidRDefault="009E604E" w:rsidP="009E604E">
      <w:pPr>
        <w:spacing w:before="328" w:line="330" w:lineRule="exact"/>
        <w:ind w:left="72"/>
        <w:textAlignment w:val="baseline"/>
        <w:rPr>
          <w:rFonts w:eastAsia="Times New Roman"/>
          <w:b/>
          <w:color w:val="C31E29"/>
          <w:spacing w:val="-2"/>
          <w:sz w:val="29"/>
          <w:lang w:val="hr-HR"/>
        </w:rPr>
      </w:pPr>
      <w:r>
        <w:rPr>
          <w:rFonts w:eastAsia="Times New Roman"/>
          <w:b/>
          <w:color w:val="C31E29"/>
          <w:spacing w:val="-2"/>
          <w:sz w:val="29"/>
          <w:lang w:val="hr-HR"/>
        </w:rPr>
        <w:t>Lista rejtinga</w:t>
      </w:r>
    </w:p>
    <w:p w:rsidR="009E604E" w:rsidRDefault="009E604E" w:rsidP="009E604E">
      <w:pPr>
        <w:spacing w:before="384" w:line="240" w:lineRule="exact"/>
        <w:ind w:left="4248" w:firstLine="708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>
        <w:rPr>
          <w:rFonts w:ascii="Courier New" w:hAnsi="Courier New"/>
          <w:color w:val="000000"/>
          <w:spacing w:val="-7"/>
          <w:sz w:val="21"/>
          <w:lang w:val="hr-HR"/>
        </w:rPr>
        <w:t>Rejting</w:t>
      </w:r>
    </w:p>
    <w:p w:rsidR="009E604E" w:rsidRDefault="009E604E" w:rsidP="009E604E">
      <w:pPr>
        <w:spacing w:before="384" w:line="240" w:lineRule="exact"/>
        <w:ind w:left="4248" w:firstLine="708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>
        <w:rPr>
          <w:rFonts w:ascii="Courier New" w:hAnsi="Courier New"/>
          <w:color w:val="000000"/>
          <w:spacing w:val="-7"/>
          <w:sz w:val="21"/>
          <w:lang w:val="hr-HR"/>
        </w:rPr>
        <w:t>U</w:t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  <w:t>Iz</w:t>
      </w:r>
    </w:p>
    <w:p w:rsidR="009E604E" w:rsidRDefault="009E604E" w:rsidP="009E604E">
      <w:pPr>
        <w:spacing w:before="384" w:line="240" w:lineRule="exact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>
        <w:rPr>
          <w:rFonts w:ascii="Courier New" w:hAnsi="Courier New"/>
          <w:color w:val="000000"/>
          <w:spacing w:val="-7"/>
          <w:sz w:val="21"/>
          <w:lang w:val="hr-HR"/>
        </w:rPr>
        <w:t>Zagreb (Grad)</w:t>
      </w:r>
    </w:p>
    <w:p w:rsidR="009E604E" w:rsidRDefault="009E604E" w:rsidP="009E604E">
      <w:pPr>
        <w:spacing w:before="384" w:line="240" w:lineRule="exact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>
        <w:rPr>
          <w:rFonts w:ascii="Courier New" w:hAnsi="Courier New"/>
          <w:color w:val="000000"/>
          <w:spacing w:val="-7"/>
          <w:sz w:val="21"/>
          <w:lang w:val="hr-HR"/>
        </w:rPr>
        <w:t>Kreditni rejting za izdavatelja</w:t>
      </w:r>
    </w:p>
    <w:p w:rsidR="009E604E" w:rsidRDefault="009E604E" w:rsidP="009E604E">
      <w:pPr>
        <w:spacing w:before="384" w:line="240" w:lineRule="exact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>
        <w:rPr>
          <w:rFonts w:ascii="Courier New" w:hAnsi="Courier New"/>
          <w:color w:val="000000"/>
          <w:spacing w:val="-7"/>
          <w:sz w:val="21"/>
          <w:lang w:val="hr-HR"/>
        </w:rPr>
        <w:t>Strana i lokalna valuta</w:t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  <w:t>BB (stabilni)</w:t>
      </w:r>
      <w:r>
        <w:rPr>
          <w:rFonts w:ascii="Courier New" w:hAnsi="Courier New"/>
          <w:color w:val="000000"/>
          <w:spacing w:val="-7"/>
          <w:sz w:val="21"/>
          <w:lang w:val="hr-HR"/>
        </w:rPr>
        <w:tab/>
        <w:t>BB (negativni)</w:t>
      </w:r>
    </w:p>
    <w:p w:rsidR="00150E69" w:rsidRPr="00CD6CA7" w:rsidRDefault="00150E69">
      <w:pPr>
        <w:spacing w:before="384" w:line="240" w:lineRule="exact"/>
        <w:textAlignment w:val="baseline"/>
        <w:rPr>
          <w:rFonts w:ascii="Courier New" w:hAnsi="Courier New"/>
          <w:color w:val="000000"/>
          <w:spacing w:val="-7"/>
          <w:sz w:val="21"/>
          <w:lang w:val="hr-HR"/>
        </w:rPr>
      </w:pP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Određeni izrazi korišteni u ovom izvješću, osobito neki pridjevi koji su se koristili kako bi izrazili naše stajalište o faktorima relevantnim za rejting, imaju specifična značenja kako su navedena u našim kriterijima, i stoga ih je potrebno tumačiti sukladno tim kriterijima. Za više informacija </w:t>
      </w:r>
      <w:r w:rsidR="00105E06">
        <w:rPr>
          <w:rFonts w:ascii="Courier New" w:hAnsi="Courier New"/>
          <w:color w:val="000000"/>
          <w:spacing w:val="-7"/>
          <w:sz w:val="21"/>
          <w:lang w:val="hr-HR"/>
        </w:rPr>
        <w:t>vidi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Ratings Criteria (Kriteriji rejtinga) na </w:t>
      </w:r>
      <w:hyperlink r:id="rId16">
        <w:r w:rsidRPr="00CD6CA7">
          <w:rPr>
            <w:rFonts w:ascii="Courier New" w:hAnsi="Courier New"/>
            <w:color w:val="0000FF"/>
            <w:spacing w:val="-7"/>
            <w:sz w:val="21"/>
            <w:u w:val="single"/>
            <w:lang w:val="hr-HR"/>
          </w:rPr>
          <w:t>www.standardandpoors.com</w:t>
        </w:r>
      </w:hyperlink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. Potpune informacije o rejtingu dostupne su pretplatnicima RatingsDirect-a na </w:t>
      </w:r>
      <w:hyperlink r:id="rId17">
        <w:r w:rsidRPr="00CD6CA7">
          <w:rPr>
            <w:rFonts w:ascii="Courier New" w:hAnsi="Courier New"/>
            <w:color w:val="0000FF"/>
            <w:spacing w:val="-7"/>
            <w:sz w:val="21"/>
            <w:u w:val="single"/>
            <w:lang w:val="hr-HR"/>
          </w:rPr>
          <w:t>www.globalcreditportal.com</w:t>
        </w:r>
      </w:hyperlink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 i na </w:t>
      </w:r>
      <w:hyperlink r:id="rId18">
        <w:r w:rsidRPr="00CD6CA7">
          <w:rPr>
            <w:rFonts w:ascii="Courier New" w:hAnsi="Courier New"/>
            <w:color w:val="0000FF"/>
            <w:spacing w:val="-7"/>
            <w:sz w:val="21"/>
            <w:u w:val="single"/>
            <w:lang w:val="hr-HR"/>
          </w:rPr>
          <w:t>spcapitaliq.com</w:t>
        </w:r>
      </w:hyperlink>
      <w:r w:rsidRPr="00CD6CA7">
        <w:rPr>
          <w:rFonts w:ascii="Courier New" w:hAnsi="Courier New"/>
          <w:color w:val="000000"/>
          <w:spacing w:val="-7"/>
          <w:sz w:val="21"/>
          <w:lang w:val="hr-HR"/>
        </w:rPr>
        <w:t xml:space="preserve">. Sve rejtinge na koje utječe ova odluka o rejtingu možete naći na javnoj internetskoj stranici agencije S&amp;P Global Ratings na </w:t>
      </w:r>
      <w:hyperlink r:id="rId19">
        <w:r w:rsidRPr="00CD6CA7">
          <w:rPr>
            <w:rFonts w:ascii="Courier New" w:hAnsi="Courier New"/>
            <w:color w:val="0000FF"/>
            <w:spacing w:val="-7"/>
            <w:sz w:val="21"/>
            <w:u w:val="single"/>
            <w:lang w:val="hr-HR"/>
          </w:rPr>
          <w:t>www.standardandpoors.com</w:t>
        </w:r>
      </w:hyperlink>
      <w:r w:rsidRPr="00CD6CA7">
        <w:rPr>
          <w:rFonts w:ascii="Courier New" w:hAnsi="Courier New"/>
          <w:color w:val="000000"/>
          <w:spacing w:val="-7"/>
          <w:sz w:val="21"/>
          <w:lang w:val="hr-HR"/>
        </w:rPr>
        <w:t>. Koristite polje za pretraživanje rejtinga u lijevom stupcu. Osim toga, možete nazvati i neki od sljedećih brojeva agencije S&amp;P Global Ratings: Korisnička podrška u Europi (44) 20-7176-7176; Londonski Ured za tisak (44) 20-7176-3605; Pariz (33) 1-4420</w:t>
      </w:r>
      <w:r w:rsidRPr="00CD6CA7">
        <w:rPr>
          <w:rFonts w:ascii="Courier New" w:hAnsi="Courier New"/>
          <w:color w:val="000000"/>
          <w:spacing w:val="-7"/>
          <w:sz w:val="21"/>
          <w:lang w:val="hr-HR"/>
        </w:rPr>
        <w:softHyphen/>
        <w:t>6708; Frankfurt (49) 69-33-999-225; Stockholm (46) 8-440-5914; ili Moskva 7 (495) 783-4009.</w:t>
      </w:r>
    </w:p>
    <w:p w:rsidR="00150E69" w:rsidRPr="00CD6CA7" w:rsidRDefault="00150E69">
      <w:pPr>
        <w:spacing w:before="179" w:line="215" w:lineRule="exact"/>
        <w:textAlignment w:val="baseline"/>
        <w:rPr>
          <w:rFonts w:eastAsia="Times New Roman"/>
          <w:b/>
          <w:color w:val="000000"/>
          <w:spacing w:val="-2"/>
          <w:sz w:val="20"/>
          <w:lang w:val="hr-HR"/>
        </w:rPr>
      </w:pPr>
      <w:r w:rsidRPr="00CD6CA7">
        <w:rPr>
          <w:rFonts w:eastAsia="Times New Roman"/>
          <w:b/>
          <w:color w:val="000000"/>
          <w:spacing w:val="-2"/>
          <w:sz w:val="20"/>
          <w:lang w:val="hr-HR"/>
        </w:rPr>
        <w:t>Dodatni kontakt:</w:t>
      </w:r>
    </w:p>
    <w:p w:rsidR="00150E69" w:rsidRPr="00CD6CA7" w:rsidRDefault="00150E69" w:rsidP="00B40794">
      <w:pPr>
        <w:spacing w:before="3" w:after="2400" w:line="205" w:lineRule="exact"/>
        <w:textAlignment w:val="baseline"/>
        <w:rPr>
          <w:rFonts w:eastAsia="Times New Roman"/>
          <w:color w:val="000000"/>
          <w:sz w:val="19"/>
          <w:lang w:val="hr-HR"/>
        </w:rPr>
      </w:pPr>
      <w:r w:rsidRPr="00CD6CA7">
        <w:rPr>
          <w:rFonts w:eastAsia="Times New Roman"/>
          <w:color w:val="000000"/>
          <w:sz w:val="19"/>
          <w:lang w:val="hr-HR"/>
        </w:rPr>
        <w:t xml:space="preserve">International Public Finance Ratings Europe; </w:t>
      </w:r>
      <w:hyperlink r:id="rId20">
        <w:r w:rsidRPr="00CD6CA7">
          <w:rPr>
            <w:rFonts w:eastAsia="Times New Roman"/>
            <w:color w:val="0000FF"/>
            <w:sz w:val="19"/>
            <w:u w:val="single"/>
            <w:lang w:val="hr-HR"/>
          </w:rPr>
          <w:t>PublicFinanceEurope@standardandpoors.com</w:t>
        </w:r>
      </w:hyperlink>
      <w:r w:rsidRPr="00CD6CA7">
        <w:rPr>
          <w:rFonts w:eastAsia="Times New Roman"/>
          <w:color w:val="000000"/>
          <w:sz w:val="19"/>
          <w:lang w:val="hr-HR"/>
        </w:rPr>
        <w:t xml:space="preserve"> </w:t>
      </w:r>
    </w:p>
    <w:p w:rsidR="00150E69" w:rsidRPr="00CD6CA7" w:rsidRDefault="00150E69">
      <w:pPr>
        <w:spacing w:before="3" w:after="3878" w:line="205" w:lineRule="exact"/>
        <w:rPr>
          <w:lang w:val="hr-HR"/>
        </w:rPr>
        <w:sectPr w:rsidR="00150E69" w:rsidRPr="00CD6CA7">
          <w:pgSz w:w="12240" w:h="15840"/>
          <w:pgMar w:top="740" w:right="1065" w:bottom="260" w:left="1070" w:header="720" w:footer="720" w:gutter="0"/>
          <w:cols w:space="720"/>
        </w:sectPr>
      </w:pPr>
    </w:p>
    <w:p w:rsidR="00150E69" w:rsidRPr="00CD6CA7" w:rsidRDefault="008846BB" w:rsidP="00B40794">
      <w:pPr>
        <w:tabs>
          <w:tab w:val="right" w:pos="10080"/>
        </w:tabs>
        <w:textAlignment w:val="baseline"/>
        <w:rPr>
          <w:rFonts w:eastAsia="Times New Roman"/>
          <w:b/>
          <w:color w:val="000000"/>
          <w:sz w:val="16"/>
          <w:lang w:val="hr-HR"/>
        </w:rPr>
      </w:pPr>
      <w:hyperlink r:id="rId21">
        <w:r w:rsidR="00150E69" w:rsidRPr="00CD6CA7">
          <w:rPr>
            <w:rFonts w:eastAsia="Times New Roman"/>
            <w:b/>
            <w:color w:val="0000FF"/>
            <w:sz w:val="16"/>
            <w:u w:val="single"/>
            <w:lang w:val="hr-HR"/>
          </w:rPr>
          <w:t>WWW.STANDARDANDPOORS.COM/RATINGSDIRECT</w:t>
        </w:r>
      </w:hyperlink>
      <w:r w:rsidR="00150E69" w:rsidRPr="00CD6CA7">
        <w:rPr>
          <w:rFonts w:eastAsia="Times New Roman"/>
          <w:b/>
          <w:color w:val="000000"/>
          <w:sz w:val="16"/>
          <w:lang w:val="hr-HR"/>
        </w:rPr>
        <w:tab/>
      </w:r>
      <w:r w:rsidR="009E604E">
        <w:rPr>
          <w:rFonts w:eastAsia="Times New Roman"/>
          <w:b/>
          <w:color w:val="000000"/>
          <w:sz w:val="16"/>
          <w:lang w:val="hr-HR"/>
        </w:rPr>
        <w:t>22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. </w:t>
      </w:r>
      <w:r w:rsidR="00235E52">
        <w:rPr>
          <w:rFonts w:eastAsia="Times New Roman"/>
          <w:b/>
          <w:color w:val="000000"/>
          <w:sz w:val="17"/>
          <w:lang w:val="hr-HR"/>
        </w:rPr>
        <w:t>prosinca</w:t>
      </w:r>
      <w:r w:rsidR="00235E52" w:rsidRPr="00CD6CA7">
        <w:rPr>
          <w:rFonts w:eastAsia="Times New Roman"/>
          <w:b/>
          <w:color w:val="000000"/>
          <w:sz w:val="17"/>
          <w:lang w:val="hr-HR"/>
        </w:rPr>
        <w:t xml:space="preserve"> </w:t>
      </w:r>
      <w:r w:rsidR="00150E69" w:rsidRPr="00CD6CA7">
        <w:rPr>
          <w:rFonts w:eastAsia="Times New Roman"/>
          <w:b/>
          <w:color w:val="000000"/>
          <w:sz w:val="16"/>
          <w:lang w:val="hr-HR"/>
        </w:rPr>
        <w:t xml:space="preserve">2016. </w:t>
      </w:r>
      <w:r w:rsidR="00235E52">
        <w:rPr>
          <w:rFonts w:eastAsia="Times New Roman"/>
          <w:b/>
          <w:color w:val="000000"/>
          <w:sz w:val="16"/>
          <w:lang w:val="hr-HR"/>
        </w:rPr>
        <w:t>6</w:t>
      </w:r>
    </w:p>
    <w:p w:rsidR="00150E69" w:rsidRPr="00CD6CA7" w:rsidRDefault="009E604E" w:rsidP="00B40794">
      <w:pPr>
        <w:spacing w:before="75"/>
        <w:jc w:val="right"/>
        <w:textAlignment w:val="baseline"/>
        <w:rPr>
          <w:rFonts w:eastAsia="Times New Roman"/>
          <w:color w:val="B2AEB4"/>
          <w:spacing w:val="3"/>
          <w:sz w:val="16"/>
          <w:lang w:val="hr-HR"/>
        </w:rPr>
        <w:sectPr w:rsidR="00150E69" w:rsidRPr="00CD6CA7">
          <w:type w:val="continuous"/>
          <w:pgSz w:w="12240" w:h="15840"/>
          <w:pgMar w:top="740" w:right="1070" w:bottom="260" w:left="1070" w:header="720" w:footer="720" w:gutter="0"/>
          <w:cols w:space="720"/>
        </w:sectPr>
      </w:pPr>
      <w:r>
        <w:rPr>
          <w:rFonts w:eastAsia="Times New Roman"/>
          <w:color w:val="B2AEB4"/>
          <w:spacing w:val="3"/>
          <w:sz w:val="16"/>
          <w:lang w:val="hr-HR"/>
        </w:rPr>
        <w:t>1178053</w:t>
      </w:r>
      <w:r w:rsidR="00B40794">
        <w:rPr>
          <w:rFonts w:eastAsia="Times New Roman"/>
          <w:color w:val="B2AEB4"/>
          <w:spacing w:val="3"/>
          <w:sz w:val="16"/>
          <w:lang w:val="hr-HR"/>
        </w:rPr>
        <w:t xml:space="preserve"> | </w:t>
      </w:r>
      <w:r>
        <w:rPr>
          <w:rFonts w:eastAsia="Times New Roman"/>
          <w:color w:val="B2AEB4"/>
          <w:spacing w:val="3"/>
          <w:sz w:val="16"/>
          <w:lang w:val="hr-HR"/>
        </w:rPr>
        <w:t>300303550</w:t>
      </w:r>
    </w:p>
    <w:p w:rsidR="00150E69" w:rsidRPr="00CD6CA7" w:rsidRDefault="00150E69" w:rsidP="00B40794">
      <w:pPr>
        <w:spacing w:before="86" w:line="181" w:lineRule="exact"/>
        <w:ind w:right="320"/>
        <w:textAlignment w:val="baseline"/>
        <w:rPr>
          <w:rFonts w:eastAsia="Times New Roman"/>
          <w:color w:val="B2AEB4"/>
          <w:spacing w:val="3"/>
          <w:sz w:val="16"/>
          <w:lang w:val="hr-HR"/>
        </w:rPr>
      </w:pPr>
    </w:p>
    <w:sectPr w:rsidR="00150E69" w:rsidRPr="00CD6CA7" w:rsidSect="001E7CF6">
      <w:pgSz w:w="12240" w:h="15840"/>
      <w:pgMar w:top="4800" w:right="1070" w:bottom="260" w:left="10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1EB"/>
    <w:multiLevelType w:val="multilevel"/>
    <w:tmpl w:val="FFFFFFFF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F136CE6"/>
    <w:multiLevelType w:val="multilevel"/>
    <w:tmpl w:val="FFFFFFFF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Times New Roman" w:hAnsi="Symbol"/>
        <w:strike w:val="0"/>
        <w:color w:val="000000"/>
        <w:spacing w:val="14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F6"/>
    <w:rsid w:val="00020FF6"/>
    <w:rsid w:val="000376CB"/>
    <w:rsid w:val="000414D2"/>
    <w:rsid w:val="00044C20"/>
    <w:rsid w:val="00050B46"/>
    <w:rsid w:val="0007137F"/>
    <w:rsid w:val="000926C8"/>
    <w:rsid w:val="00096502"/>
    <w:rsid w:val="00105E06"/>
    <w:rsid w:val="00113C9A"/>
    <w:rsid w:val="00150E69"/>
    <w:rsid w:val="001759FB"/>
    <w:rsid w:val="001B1B97"/>
    <w:rsid w:val="001C36EA"/>
    <w:rsid w:val="001C503B"/>
    <w:rsid w:val="001C6F78"/>
    <w:rsid w:val="001E7CF6"/>
    <w:rsid w:val="00200B1C"/>
    <w:rsid w:val="00214DF1"/>
    <w:rsid w:val="00235E52"/>
    <w:rsid w:val="002408AB"/>
    <w:rsid w:val="00243ACE"/>
    <w:rsid w:val="00262173"/>
    <w:rsid w:val="00262BF2"/>
    <w:rsid w:val="00263B21"/>
    <w:rsid w:val="00294412"/>
    <w:rsid w:val="002A4D2D"/>
    <w:rsid w:val="002B1196"/>
    <w:rsid w:val="002C44C8"/>
    <w:rsid w:val="002F232A"/>
    <w:rsid w:val="002F6547"/>
    <w:rsid w:val="00330E67"/>
    <w:rsid w:val="00363F7A"/>
    <w:rsid w:val="003728FF"/>
    <w:rsid w:val="003C2280"/>
    <w:rsid w:val="003F07AD"/>
    <w:rsid w:val="00431CEB"/>
    <w:rsid w:val="004660EE"/>
    <w:rsid w:val="00466CBF"/>
    <w:rsid w:val="0047079B"/>
    <w:rsid w:val="00497027"/>
    <w:rsid w:val="004F1892"/>
    <w:rsid w:val="00521986"/>
    <w:rsid w:val="005303BA"/>
    <w:rsid w:val="00570533"/>
    <w:rsid w:val="0057427F"/>
    <w:rsid w:val="005761BF"/>
    <w:rsid w:val="00582386"/>
    <w:rsid w:val="00585ACF"/>
    <w:rsid w:val="005A79BB"/>
    <w:rsid w:val="005C3EE2"/>
    <w:rsid w:val="005D601B"/>
    <w:rsid w:val="005E3AFE"/>
    <w:rsid w:val="005E513D"/>
    <w:rsid w:val="005F4CA1"/>
    <w:rsid w:val="00631FB5"/>
    <w:rsid w:val="006341B4"/>
    <w:rsid w:val="00662C41"/>
    <w:rsid w:val="006970E4"/>
    <w:rsid w:val="006B6EF7"/>
    <w:rsid w:val="006D5D97"/>
    <w:rsid w:val="006E0502"/>
    <w:rsid w:val="007114C1"/>
    <w:rsid w:val="00723CAB"/>
    <w:rsid w:val="007C1A51"/>
    <w:rsid w:val="007D669F"/>
    <w:rsid w:val="007F1BB0"/>
    <w:rsid w:val="008056A6"/>
    <w:rsid w:val="00807A8C"/>
    <w:rsid w:val="0081264C"/>
    <w:rsid w:val="008177FF"/>
    <w:rsid w:val="00817D34"/>
    <w:rsid w:val="00856F81"/>
    <w:rsid w:val="00864763"/>
    <w:rsid w:val="00872EA0"/>
    <w:rsid w:val="008846BB"/>
    <w:rsid w:val="008863AD"/>
    <w:rsid w:val="008B6C78"/>
    <w:rsid w:val="008C3098"/>
    <w:rsid w:val="008C6E5E"/>
    <w:rsid w:val="0090769F"/>
    <w:rsid w:val="009250D0"/>
    <w:rsid w:val="0093312F"/>
    <w:rsid w:val="009531F6"/>
    <w:rsid w:val="00994490"/>
    <w:rsid w:val="009970E0"/>
    <w:rsid w:val="009A097F"/>
    <w:rsid w:val="009A1F2A"/>
    <w:rsid w:val="009B34C3"/>
    <w:rsid w:val="009E604E"/>
    <w:rsid w:val="00A318BA"/>
    <w:rsid w:val="00AA1F73"/>
    <w:rsid w:val="00B107CC"/>
    <w:rsid w:val="00B16C26"/>
    <w:rsid w:val="00B2689A"/>
    <w:rsid w:val="00B40794"/>
    <w:rsid w:val="00B533C2"/>
    <w:rsid w:val="00B6010D"/>
    <w:rsid w:val="00B83D93"/>
    <w:rsid w:val="00B9478E"/>
    <w:rsid w:val="00B95B72"/>
    <w:rsid w:val="00BB6ADF"/>
    <w:rsid w:val="00BC4B3A"/>
    <w:rsid w:val="00BD7B4B"/>
    <w:rsid w:val="00BF1E30"/>
    <w:rsid w:val="00C2069F"/>
    <w:rsid w:val="00C81B70"/>
    <w:rsid w:val="00CA1334"/>
    <w:rsid w:val="00CB59AE"/>
    <w:rsid w:val="00CC0D3D"/>
    <w:rsid w:val="00CC70B2"/>
    <w:rsid w:val="00CD6CA7"/>
    <w:rsid w:val="00D07334"/>
    <w:rsid w:val="00D13622"/>
    <w:rsid w:val="00D41289"/>
    <w:rsid w:val="00D441E5"/>
    <w:rsid w:val="00D50C9D"/>
    <w:rsid w:val="00D64A8B"/>
    <w:rsid w:val="00D71F74"/>
    <w:rsid w:val="00D938D3"/>
    <w:rsid w:val="00D9493A"/>
    <w:rsid w:val="00DB4581"/>
    <w:rsid w:val="00DC661C"/>
    <w:rsid w:val="00E00A11"/>
    <w:rsid w:val="00E2022F"/>
    <w:rsid w:val="00E21171"/>
    <w:rsid w:val="00E22E98"/>
    <w:rsid w:val="00E36EB6"/>
    <w:rsid w:val="00E51E4E"/>
    <w:rsid w:val="00E66BFA"/>
    <w:rsid w:val="00E726E6"/>
    <w:rsid w:val="00E74FDF"/>
    <w:rsid w:val="00E9530D"/>
    <w:rsid w:val="00EC12B3"/>
    <w:rsid w:val="00EF2D08"/>
    <w:rsid w:val="00F15936"/>
    <w:rsid w:val="00F341D3"/>
    <w:rsid w:val="00F54047"/>
    <w:rsid w:val="00F67FB2"/>
    <w:rsid w:val="00F75B5A"/>
    <w:rsid w:val="00F75D53"/>
    <w:rsid w:val="00F81C83"/>
    <w:rsid w:val="00F95208"/>
    <w:rsid w:val="00FD6E5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F6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0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F6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0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daehn@spglobal.com" TargetMode="External"/><Relationship Id="rId13" Type="http://schemas.openxmlformats.org/officeDocument/2006/relationships/hyperlink" Target="http://WWW.STANDARDANDPOORS.COM/RATINGSDIRECT" TargetMode="External"/><Relationship Id="rId18" Type="http://schemas.openxmlformats.org/officeDocument/2006/relationships/hyperlink" Target="http://spcapitaliq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ANDARDANDPOORS.COM/RATINGSDIREC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STANDARDANDPOORS.COM/RATINGSDIRECT" TargetMode="External"/><Relationship Id="rId17" Type="http://schemas.openxmlformats.org/officeDocument/2006/relationships/hyperlink" Target="http://www.globalcreditport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ndardandpoors.com" TargetMode="External"/><Relationship Id="rId20" Type="http://schemas.openxmlformats.org/officeDocument/2006/relationships/hyperlink" Target="mailto:PublicFinanceEurope@standardandpoor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ANDARDANDPOORS.COM/RATINGSDIR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NDARDANDPOORS.COM/RATINGSDIREC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ANDARDANDPOORS.COM/RATINGSDIRECT" TargetMode="External"/><Relationship Id="rId19" Type="http://schemas.openxmlformats.org/officeDocument/2006/relationships/hyperlink" Target="http://www.standardandpoo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ix.ejgel@spglobal.com" TargetMode="External"/><Relationship Id="rId14" Type="http://schemas.openxmlformats.org/officeDocument/2006/relationships/hyperlink" Target="http://www.spratings.com/SR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12027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Rako</dc:creator>
  <cp:lastModifiedBy>Vice Puhalović</cp:lastModifiedBy>
  <cp:revision>2</cp:revision>
  <dcterms:created xsi:type="dcterms:W3CDTF">2016-12-27T08:13:00Z</dcterms:created>
  <dcterms:modified xsi:type="dcterms:W3CDTF">2016-12-27T08:13:00Z</dcterms:modified>
</cp:coreProperties>
</file>